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концепция-архитектуры-цп-рсфср"/>
    <w:p>
      <w:pPr>
        <w:pStyle w:val="Heading1"/>
      </w:pPr>
      <w:r>
        <w:t xml:space="preserve">Концепция архитектуры ЦП РСФСР</w:t>
      </w:r>
    </w:p>
    <w:bookmarkStart w:id="9" w:name="X1dbcaf71c4327c76856ae56e73fc7b80e7ca37e"/>
    <w:p>
      <w:pPr>
        <w:pStyle w:val="Heading2"/>
      </w:pPr>
      <w:r>
        <w:t xml:space="preserve">Цифровая Платформа «Российский Сервис Финансирования Социального Развития»</w:t>
      </w:r>
    </w:p>
    <w:p>
      <w:pPr>
        <w:pStyle w:val="FirstParagraph"/>
      </w:pPr>
      <w:r>
        <w:rPr>
          <w:b/>
          <w:bCs/>
        </w:rPr>
        <w:t xml:space="preserve">Автор и правообладатель концепции:</w:t>
      </w:r>
      <w:r>
        <w:t xml:space="preserve"> </w:t>
      </w:r>
      <w:r>
        <w:t xml:space="preserve">Кагиров Абдул-Хаким Ахмадович.</w:t>
      </w:r>
      <w:r>
        <w:t xml:space="preserve"> </w:t>
      </w:r>
      <w:r>
        <w:rPr>
          <w:b/>
          <w:bCs/>
        </w:rPr>
        <w:t xml:space="preserve">Свидетельство о депонировании:</w:t>
      </w:r>
      <w:r>
        <w:t xml:space="preserve"> </w:t>
      </w:r>
      <w:r>
        <w:t xml:space="preserve">№4011265 от 19.12.2024 (ireg.pro), хеш ГОСТ-Р 34.11-2012.</w:t>
      </w:r>
      <w:r>
        <w:t xml:space="preserve"> </w:t>
      </w:r>
      <w:r>
        <w:rPr>
          <w:b/>
          <w:bCs/>
        </w:rPr>
        <w:t xml:space="preserve">Документ соответствует требованиям ГОСТ 34.602 (ТЗ на создание АС), ГОСТ 19.701 (схемы алгоритмов), ГОСТ Р 57580.1.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и-область-применения"/>
    <w:p>
      <w:pPr>
        <w:pStyle w:val="Heading2"/>
      </w:pPr>
      <w:r>
        <w:t xml:space="preserve">1. Назначение и область применения</w:t>
      </w:r>
    </w:p>
    <w:p>
      <w:pPr>
        <w:pStyle w:val="FirstParagraph"/>
      </w:pPr>
      <w:r>
        <w:t xml:space="preserve">Платформа ЦП РСФСР — государственно значимая операторская информационная система выпуска цифровых финансовых активов (ЦФА) под залог имущества граждан и организаций Российской Федерации, с целевой эмиссией Банка России (включая цифровой рубль) на финансирование национальных и инфраструктурных проектов.</w:t>
      </w:r>
    </w:p>
    <w:p>
      <w:pPr>
        <w:pStyle w:val="BodyText"/>
      </w:pPr>
      <w:r>
        <w:t xml:space="preserve">Документ описывает:</w:t>
      </w:r>
      <w:r>
        <w:t xml:space="preserve"> </w:t>
      </w:r>
      <w:r>
        <w:t xml:space="preserve">- общие архитектурные принципы платформы;</w:t>
      </w:r>
      <w:r>
        <w:t xml:space="preserve"> </w:t>
      </w:r>
      <w:r>
        <w:t xml:space="preserve">- логическую и физическую архитектуру;</w:t>
      </w:r>
      <w:r>
        <w:t xml:space="preserve"> </w:t>
      </w:r>
      <w:r>
        <w:t xml:space="preserve">- технологический стек на полностью импортозамещённых компонентах;</w:t>
      </w:r>
      <w:r>
        <w:t xml:space="preserve"> </w:t>
      </w:r>
      <w:r>
        <w:t xml:space="preserve">- модель надёжности и отказоустойчивости;</w:t>
      </w:r>
      <w:r>
        <w:t xml:space="preserve"> </w:t>
      </w:r>
      <w:r>
        <w:t xml:space="preserve">- требования к классификации информационной системы как объекта КИИ.</w:t>
      </w:r>
    </w:p>
    <w:bookmarkEnd w:id="10"/>
    <w:bookmarkStart w:id="11" w:name="Xd5795fa9a143c37b70568ecd1e4be7c2afd2ac5"/>
    <w:p>
      <w:pPr>
        <w:pStyle w:val="Heading2"/>
      </w:pPr>
      <w:r>
        <w:t xml:space="preserve">2. Нефункциональные требования (NFR) — целевой уровень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99,99% (52 мин/год downtime)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Пиковая нагрузка ввода</w:t>
            </w:r>
          </w:p>
        </w:tc>
        <w:tc>
          <w:tcPr/>
          <w:p>
            <w:pPr>
              <w:pStyle w:val="Compact"/>
            </w:pPr>
            <w:r>
              <w:t xml:space="preserve">5 000 RPS на API-шлюзе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Среднее время отклика</w:t>
            </w:r>
          </w:p>
        </w:tc>
        <w:tc>
          <w:tcPr/>
          <w:p>
            <w:pPr>
              <w:pStyle w:val="Compact"/>
            </w:pPr>
            <w:r>
              <w:t xml:space="preserve">≤ 200 мс (P95), ≤ 500 мс (P99)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Время выпуска ЦФА (E2E)</w:t>
            </w:r>
          </w:p>
        </w:tc>
        <w:tc>
          <w:tcPr/>
          <w:p>
            <w:pPr>
              <w:pStyle w:val="Compact"/>
            </w:pPr>
            <w:r>
              <w:t xml:space="preserve">≤ 30 сек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Восстановление</w:t>
            </w:r>
          </w:p>
        </w:tc>
        <w:tc>
          <w:tcPr/>
          <w:p>
            <w:pPr>
              <w:pStyle w:val="Compact"/>
            </w:pPr>
            <w:r>
              <w:t xml:space="preserve">RPO (точка восстановления)</w:t>
            </w:r>
          </w:p>
        </w:tc>
        <w:tc>
          <w:tcPr/>
          <w:p>
            <w:pPr>
              <w:pStyle w:val="Compact"/>
            </w:pPr>
            <w:r>
              <w:t xml:space="preserve">0 для критичных контуров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Восстановление</w:t>
            </w:r>
          </w:p>
        </w:tc>
        <w:tc>
          <w:tcPr/>
          <w:p>
            <w:pPr>
              <w:pStyle w:val="Compact"/>
            </w:pPr>
            <w:r>
              <w:t xml:space="preserve">RTO (время восстановления)</w:t>
            </w:r>
          </w:p>
        </w:tc>
        <w:tc>
          <w:tcPr/>
          <w:p>
            <w:pPr>
              <w:pStyle w:val="Compact"/>
            </w:pPr>
            <w:r>
              <w:t xml:space="preserve">≤ 5 мин для критичных контуров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Геораспределение</w:t>
            </w:r>
          </w:p>
        </w:tc>
        <w:tc>
          <w:tcPr/>
          <w:p>
            <w:pPr>
              <w:pStyle w:val="Compact"/>
            </w:pPr>
            <w:r>
              <w:t xml:space="preserve">Минимум активных ЦОД</w:t>
            </w:r>
          </w:p>
        </w:tc>
        <w:tc>
          <w:tcPr/>
          <w:p>
            <w:pPr>
              <w:pStyle w:val="Compact"/>
            </w:pPr>
            <w:r>
              <w:t xml:space="preserve">3 (разные федеральные округа)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информации</w:t>
            </w:r>
          </w:p>
        </w:tc>
        <w:tc>
          <w:tcPr/>
          <w:p>
            <w:pPr>
              <w:pStyle w:val="Compact"/>
            </w:pPr>
            <w:r>
              <w:t xml:space="preserve">Уровень по ГОСТ Р 57580.1</w:t>
            </w:r>
          </w:p>
        </w:tc>
        <w:tc>
          <w:tcPr/>
          <w:p>
            <w:pPr>
              <w:pStyle w:val="Compact"/>
            </w:pPr>
            <w:r>
              <w:t xml:space="preserve">4-й (максимальный)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ПДн</w:t>
            </w:r>
          </w:p>
        </w:tc>
        <w:tc>
          <w:tcPr/>
          <w:p>
            <w:pPr>
              <w:pStyle w:val="Compact"/>
            </w:pPr>
            <w:r>
              <w:t xml:space="preserve">Уровень защищённости ИСПДн (ПП РФ №1119)</w:t>
            </w:r>
          </w:p>
        </w:tc>
        <w:tc>
          <w:tcPr/>
          <w:p>
            <w:pPr>
              <w:pStyle w:val="Compact"/>
            </w:pPr>
            <w:r>
              <w:t xml:space="preserve">УЗ-1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КИИ</w:t>
            </w:r>
          </w:p>
        </w:tc>
        <w:tc>
          <w:tcPr/>
          <w:p>
            <w:pPr>
              <w:pStyle w:val="Compact"/>
            </w:pPr>
            <w:r>
              <w:t xml:space="preserve">Категория значимости (ФЗ-187)</w:t>
            </w:r>
          </w:p>
        </w:tc>
        <w:tc>
          <w:tcPr/>
          <w:p>
            <w:pPr>
              <w:pStyle w:val="Compact"/>
            </w:pPr>
            <w:r>
              <w:t xml:space="preserve">1-я (наивысшая)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Криптография</w:t>
            </w:r>
          </w:p>
        </w:tc>
        <w:tc>
          <w:tcPr/>
          <w:p>
            <w:pPr>
              <w:pStyle w:val="Compact"/>
            </w:pPr>
            <w:r>
              <w:t xml:space="preserve">Стандарты</w:t>
            </w:r>
          </w:p>
        </w:tc>
        <w:tc>
          <w:tcPr/>
          <w:p>
            <w:pPr>
              <w:pStyle w:val="Compact"/>
            </w:pPr>
            <w:r>
              <w:t xml:space="preserve">ГОСТ Р 34.10-2012, 34.11-2012, 34.12-2015, 34.13-2015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Соответствие реестру ПО</w:t>
            </w:r>
          </w:p>
        </w:tc>
        <w:tc>
          <w:tcPr/>
          <w:p>
            <w:pPr>
              <w:pStyle w:val="Compact"/>
            </w:pPr>
            <w:r>
              <w:t xml:space="preserve">Реестр Минцифры (ПП РФ №1236)</w:t>
            </w:r>
          </w:p>
        </w:tc>
        <w:tc>
          <w:tcPr/>
          <w:p>
            <w:pPr>
              <w:pStyle w:val="Compact"/>
            </w:pPr>
            <w:r>
              <w:t xml:space="preserve">100% компонентов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Сертификация СЗИ</w:t>
            </w:r>
          </w:p>
        </w:tc>
        <w:tc>
          <w:tcPr/>
          <w:p>
            <w:pPr>
              <w:pStyle w:val="Compact"/>
            </w:pPr>
            <w:r>
              <w:t xml:space="preserve">ФСТЭК России</w:t>
            </w:r>
          </w:p>
        </w:tc>
        <w:tc>
          <w:tcPr/>
          <w:p>
            <w:pPr>
              <w:pStyle w:val="Compact"/>
            </w:pPr>
            <w:r>
              <w:t xml:space="preserve">Все средства защиты — из реестра ФСТЭК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Архитектурный стандарт</w:t>
            </w:r>
          </w:p>
        </w:tc>
        <w:tc>
          <w:tcPr/>
          <w:p>
            <w:pPr>
              <w:pStyle w:val="Compact"/>
            </w:pPr>
            <w:r>
              <w:t xml:space="preserve">Микросервисы / 12-factor / event-driven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End w:id="11"/>
    <w:bookmarkStart w:id="12" w:name="логическая-архитектура-7-слоёв"/>
    <w:p>
      <w:pPr>
        <w:pStyle w:val="Heading2"/>
      </w:pPr>
      <w:r>
        <w:t xml:space="preserve">3. Логическая архитектура — 7 слоёв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Канал собственника актива</w:t>
      </w:r>
      <w:r>
        <w:t xml:space="preserve"> </w:t>
      </w:r>
      <w:r>
        <w:t xml:space="preserve">— веб-портал, мобильные приложения iOS/Android/Windows, чат-бот в государственных каналах.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Backend-for-Frontend (BFF)</w:t>
      </w:r>
      <w:r>
        <w:t xml:space="preserve"> </w:t>
      </w:r>
      <w:r>
        <w:t xml:space="preserve">— оптимизированный слой агрегации для каждого канала.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— единая точка входа, аутентификация, rate-limiting, антифрод-фильтры.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Бизнес-сервисы</w:t>
      </w:r>
      <w:r>
        <w:t xml:space="preserve"> </w:t>
      </w:r>
      <w:r>
        <w:t xml:space="preserve">— микросервисы: KYC, оценка, страхование, эмиссия ЦФА, смарт-контракты, реестр, эскроу-адаптер, отчётность, нотификации.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Слой данных</w:t>
      </w:r>
      <w:r>
        <w:t xml:space="preserve"> </w:t>
      </w:r>
      <w:r>
        <w:t xml:space="preserve">— реляционные СУБД (Postgres Pro / Ред БД), хранилища документов, in-memory кеш (отечественный аналог Redis), объектное S3-совместимое хранилище.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Слой интеграций</w:t>
      </w:r>
      <w:r>
        <w:t xml:space="preserve"> </w:t>
      </w:r>
      <w:r>
        <w:t xml:space="preserve">— адаптеры к ГИС (Госуслуги, ЕГРН, СМЭВ 3, ГИС ГМП, ФК, ЦБ, Росфинмониторинг, ФНС, НСПК).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Слой безопасности</w:t>
      </w:r>
      <w:r>
        <w:t xml:space="preserve"> </w:t>
      </w:r>
      <w:r>
        <w:t xml:space="preserve">— DLP, SIEM, EDR, ГосСОПКА-агент, HSM-модули (КриптоПро HSM), системы мониторинга и аудита.</w:t>
      </w:r>
    </w:p>
    <w:bookmarkEnd w:id="12"/>
    <w:bookmarkStart w:id="16" w:name="физическая-архитектура"/>
    <w:p>
      <w:pPr>
        <w:pStyle w:val="Heading2"/>
      </w:pPr>
      <w:r>
        <w:t xml:space="preserve">4. Физическая архитектура</w:t>
      </w:r>
    </w:p>
    <w:bookmarkStart w:id="13" w:name="география"/>
    <w:p>
      <w:pPr>
        <w:pStyle w:val="Heading3"/>
      </w:pPr>
      <w:r>
        <w:t xml:space="preserve">4.1. География</w:t>
      </w:r>
    </w:p>
    <w:p>
      <w:pPr>
        <w:pStyle w:val="Compact"/>
        <w:numPr>
          <w:ilvl w:val="0"/>
          <w:numId w:val="1002"/>
        </w:numPr>
      </w:pPr>
      <w:r>
        <w:t xml:space="preserve">Минимум 3 действующих ЦОД на территории Российской Федерации в разных федеральных округах (Центральный, Сибирский, Уральский — пример).</w:t>
      </w:r>
    </w:p>
    <w:p>
      <w:pPr>
        <w:pStyle w:val="Compact"/>
        <w:numPr>
          <w:ilvl w:val="0"/>
          <w:numId w:val="1002"/>
        </w:numPr>
      </w:pPr>
      <w:r>
        <w:t xml:space="preserve">Топология active-active-active с синхронной репликацией для критичных контуров.</w:t>
      </w:r>
    </w:p>
    <w:p>
      <w:pPr>
        <w:pStyle w:val="Compact"/>
        <w:numPr>
          <w:ilvl w:val="0"/>
          <w:numId w:val="1002"/>
        </w:numPr>
      </w:pPr>
      <w:r>
        <w:t xml:space="preserve">Резервный «холодный» ЦОД для DR-сценариев.</w:t>
      </w:r>
    </w:p>
    <w:bookmarkEnd w:id="13"/>
    <w:bookmarkStart w:id="14" w:name="сетевая-модель"/>
    <w:p>
      <w:pPr>
        <w:pStyle w:val="Heading3"/>
      </w:pPr>
      <w:r>
        <w:t xml:space="preserve">4.2. Сетевая модель</w:t>
      </w:r>
    </w:p>
    <w:p>
      <w:pPr>
        <w:pStyle w:val="Compact"/>
        <w:numPr>
          <w:ilvl w:val="0"/>
          <w:numId w:val="1003"/>
        </w:numPr>
      </w:pPr>
      <w:r>
        <w:t xml:space="preserve">Двухуровневая защита периметра: 1-й уровень — государственная сеть «РТКомм», 2-й — собственный периметр с отечественными NGFW.</w:t>
      </w:r>
    </w:p>
    <w:p>
      <w:pPr>
        <w:pStyle w:val="Compact"/>
        <w:numPr>
          <w:ilvl w:val="0"/>
          <w:numId w:val="1003"/>
        </w:numPr>
      </w:pPr>
      <w:r>
        <w:t xml:space="preserve">Изолированный сегмент для интеграций с Банком России (СПФС, защищённый канал ВипНет).</w:t>
      </w:r>
    </w:p>
    <w:p>
      <w:pPr>
        <w:pStyle w:val="Compact"/>
        <w:numPr>
          <w:ilvl w:val="0"/>
          <w:numId w:val="1003"/>
        </w:numPr>
      </w:pPr>
      <w:r>
        <w:t xml:space="preserve">Полная сегментация по микросервисам (zero-trust network).</w:t>
      </w:r>
    </w:p>
    <w:bookmarkEnd w:id="14"/>
    <w:bookmarkStart w:id="15" w:name="платформа-исполнения"/>
    <w:p>
      <w:pPr>
        <w:pStyle w:val="Heading3"/>
      </w:pPr>
      <w:r>
        <w:t xml:space="preserve">4.3. Платформа исполнения</w:t>
      </w:r>
    </w:p>
    <w:p>
      <w:pPr>
        <w:pStyle w:val="Compact"/>
        <w:numPr>
          <w:ilvl w:val="0"/>
          <w:numId w:val="1004"/>
        </w:numPr>
      </w:pPr>
      <w:r>
        <w:t xml:space="preserve">Контейнеризация на отечественных Kubernetes-дистрибутивах (Deckhouse Stronghold / Yandex Managed K8s on-prem-аналоги).</w:t>
      </w:r>
    </w:p>
    <w:p>
      <w:pPr>
        <w:pStyle w:val="Compact"/>
        <w:numPr>
          <w:ilvl w:val="0"/>
          <w:numId w:val="1004"/>
        </w:numPr>
      </w:pPr>
      <w:r>
        <w:t xml:space="preserve">Service Mesh с сертификатами КриптоПро для mTLS.</w:t>
      </w:r>
    </w:p>
    <w:bookmarkEnd w:id="15"/>
    <w:bookmarkEnd w:id="16"/>
    <w:bookmarkStart w:id="24" w:name="технологический-стек"/>
    <w:p>
      <w:pPr>
        <w:pStyle w:val="Heading2"/>
      </w:pPr>
      <w:r>
        <w:t xml:space="preserve">5. Технологический стек</w:t>
      </w:r>
    </w:p>
    <w:bookmarkStart w:id="17" w:name="системное-по"/>
    <w:p>
      <w:pPr>
        <w:pStyle w:val="Heading3"/>
      </w:pPr>
      <w:r>
        <w:t xml:space="preserve">5.1. Системное ПО</w:t>
      </w:r>
    </w:p>
    <w:p>
      <w:pPr>
        <w:pStyle w:val="Compact"/>
        <w:numPr>
          <w:ilvl w:val="0"/>
          <w:numId w:val="1005"/>
        </w:numPr>
      </w:pPr>
      <w:r>
        <w:t xml:space="preserve">Операционные системы: Astra Linux Special Edition, РЕД ОС, Альт Сервер — сертифицированы ФСТЭК.</w:t>
      </w:r>
    </w:p>
    <w:p>
      <w:pPr>
        <w:pStyle w:val="Compact"/>
        <w:numPr>
          <w:ilvl w:val="0"/>
          <w:numId w:val="1005"/>
        </w:numPr>
      </w:pPr>
      <w:r>
        <w:t xml:space="preserve">Гипервизор: zVirt / СБерCloud / vStack (отечественные аналоги VMware).</w:t>
      </w:r>
    </w:p>
    <w:p>
      <w:pPr>
        <w:pStyle w:val="Compact"/>
        <w:numPr>
          <w:ilvl w:val="0"/>
          <w:numId w:val="1005"/>
        </w:numPr>
      </w:pPr>
      <w:r>
        <w:t xml:space="preserve">Контейнеризация: отечественные дистрибутивы Kubernetes.</w:t>
      </w:r>
    </w:p>
    <w:bookmarkEnd w:id="17"/>
    <w:bookmarkStart w:id="18" w:name="базы-данных-и-хранилища"/>
    <w:p>
      <w:pPr>
        <w:pStyle w:val="Heading3"/>
      </w:pPr>
      <w:r>
        <w:t xml:space="preserve">5.2. Базы данных и хранилища</w:t>
      </w:r>
    </w:p>
    <w:p>
      <w:pPr>
        <w:pStyle w:val="Compact"/>
        <w:numPr>
          <w:ilvl w:val="0"/>
          <w:numId w:val="1006"/>
        </w:numPr>
      </w:pPr>
      <w:r>
        <w:t xml:space="preserve">Реляционные: Postgres Pro Enterprise, Tantor Special Edition, Ред БД.</w:t>
      </w:r>
    </w:p>
    <w:p>
      <w:pPr>
        <w:pStyle w:val="Compact"/>
        <w:numPr>
          <w:ilvl w:val="0"/>
          <w:numId w:val="1006"/>
        </w:numPr>
      </w:pPr>
      <w:r>
        <w:t xml:space="preserve">Аналитические: Pangolin, Arenadata DB.</w:t>
      </w:r>
    </w:p>
    <w:p>
      <w:pPr>
        <w:pStyle w:val="Compact"/>
        <w:numPr>
          <w:ilvl w:val="0"/>
          <w:numId w:val="1006"/>
        </w:numPr>
      </w:pPr>
      <w:r>
        <w:t xml:space="preserve">Документоориентированные: Postgres Pro Multimaster JSONB; или отечественный аналог MongoDB (Atlasync).</w:t>
      </w:r>
    </w:p>
    <w:p>
      <w:pPr>
        <w:pStyle w:val="Compact"/>
        <w:numPr>
          <w:ilvl w:val="0"/>
          <w:numId w:val="1006"/>
        </w:numPr>
      </w:pPr>
      <w:r>
        <w:t xml:space="preserve">Объектное: Yandex Object Storage on-prem, Аркуда, S3-совместимый хост.</w:t>
      </w:r>
    </w:p>
    <w:bookmarkEnd w:id="18"/>
    <w:bookmarkStart w:id="19" w:name="брокеры-и-потоковая-обработка"/>
    <w:p>
      <w:pPr>
        <w:pStyle w:val="Heading3"/>
      </w:pPr>
      <w:r>
        <w:t xml:space="preserve">5.3. Брокеры и потоковая обработка</w:t>
      </w:r>
    </w:p>
    <w:p>
      <w:pPr>
        <w:pStyle w:val="Compact"/>
        <w:numPr>
          <w:ilvl w:val="0"/>
          <w:numId w:val="1007"/>
        </w:numPr>
      </w:pPr>
      <w:r>
        <w:t xml:space="preserve">Apache Kafka в дистрибутивах Arenadata Streaming / Yandex Managed Service for Apache Kafka.</w:t>
      </w:r>
    </w:p>
    <w:p>
      <w:pPr>
        <w:pStyle w:val="Compact"/>
        <w:numPr>
          <w:ilvl w:val="0"/>
          <w:numId w:val="1007"/>
        </w:numPr>
      </w:pPr>
      <w:r>
        <w:t xml:space="preserve">RabbitMQ как fallback для классических очередей.</w:t>
      </w:r>
    </w:p>
    <w:bookmarkEnd w:id="19"/>
    <w:bookmarkStart w:id="20" w:name="dlt-слой-распределённый-реестр-цфа"/>
    <w:p>
      <w:pPr>
        <w:pStyle w:val="Heading3"/>
      </w:pPr>
      <w:r>
        <w:t xml:space="preserve">5.4. DLT-слой (распределённый реестр ЦФА)</w:t>
      </w:r>
    </w:p>
    <w:p>
      <w:pPr>
        <w:pStyle w:val="Compact"/>
        <w:numPr>
          <w:ilvl w:val="0"/>
          <w:numId w:val="1008"/>
        </w:numPr>
      </w:pPr>
      <w:r>
        <w:t xml:space="preserve">На основе отечественной платформы класса «Мастерчейн» / Waves Enterprise; конкретный вендор согласуется с Банком России на этапе пилота.</w:t>
      </w:r>
    </w:p>
    <w:p>
      <w:pPr>
        <w:pStyle w:val="Compact"/>
        <w:numPr>
          <w:ilvl w:val="0"/>
          <w:numId w:val="1008"/>
        </w:numPr>
      </w:pPr>
      <w:r>
        <w:t xml:space="preserve">Хешировние операций — ГОСТ Р 34.11-2012.</w:t>
      </w:r>
    </w:p>
    <w:p>
      <w:pPr>
        <w:pStyle w:val="Compact"/>
        <w:numPr>
          <w:ilvl w:val="0"/>
          <w:numId w:val="1008"/>
        </w:numPr>
      </w:pPr>
      <w:r>
        <w:t xml:space="preserve">Электронная подпись операций реестра — ГОСТ Р 34.10-2012.</w:t>
      </w:r>
    </w:p>
    <w:bookmarkEnd w:id="20"/>
    <w:bookmarkStart w:id="21" w:name="криптография"/>
    <w:p>
      <w:pPr>
        <w:pStyle w:val="Heading3"/>
      </w:pPr>
      <w:r>
        <w:t xml:space="preserve">5.5. Криптография</w:t>
      </w:r>
    </w:p>
    <w:p>
      <w:pPr>
        <w:pStyle w:val="Compact"/>
        <w:numPr>
          <w:ilvl w:val="0"/>
          <w:numId w:val="1009"/>
        </w:numPr>
      </w:pPr>
      <w:r>
        <w:t xml:space="preserve">HSM: КриптоПро HSM / ВипНет HSM.</w:t>
      </w:r>
    </w:p>
    <w:p>
      <w:pPr>
        <w:pStyle w:val="Compact"/>
        <w:numPr>
          <w:ilvl w:val="0"/>
          <w:numId w:val="1009"/>
        </w:numPr>
      </w:pPr>
      <w:r>
        <w:t xml:space="preserve">SDK: КриптоПро CSP 5.0, ВипНет CSP.</w:t>
      </w:r>
    </w:p>
    <w:p>
      <w:pPr>
        <w:pStyle w:val="Compact"/>
        <w:numPr>
          <w:ilvl w:val="0"/>
          <w:numId w:val="1009"/>
        </w:numPr>
      </w:pPr>
      <w:r>
        <w:t xml:space="preserve">Сертификаты: Квалифицированные сертификаты УЦ, аккредитованных Минцифры.</w:t>
      </w:r>
    </w:p>
    <w:bookmarkEnd w:id="21"/>
    <w:bookmarkStart w:id="22" w:name="информационная-безопасность"/>
    <w:p>
      <w:pPr>
        <w:pStyle w:val="Heading3"/>
      </w:pPr>
      <w:r>
        <w:t xml:space="preserve">5.6. Информационная безопасность</w:t>
      </w:r>
    </w:p>
    <w:p>
      <w:pPr>
        <w:pStyle w:val="Compact"/>
        <w:numPr>
          <w:ilvl w:val="0"/>
          <w:numId w:val="1010"/>
        </w:numPr>
      </w:pPr>
      <w:r>
        <w:t xml:space="preserve">SIEM: KOMRAD, MaxPatrol SIEM, R-Vision SIEM.</w:t>
      </w:r>
    </w:p>
    <w:p>
      <w:pPr>
        <w:pStyle w:val="Compact"/>
        <w:numPr>
          <w:ilvl w:val="0"/>
          <w:numId w:val="1010"/>
        </w:numPr>
      </w:pPr>
      <w:r>
        <w:t xml:space="preserve">EDR: Kaspersky EDR / R-Vision EDR.</w:t>
      </w:r>
    </w:p>
    <w:p>
      <w:pPr>
        <w:pStyle w:val="Compact"/>
        <w:numPr>
          <w:ilvl w:val="0"/>
          <w:numId w:val="1010"/>
        </w:numPr>
      </w:pPr>
      <w:r>
        <w:t xml:space="preserve">DLP: Solar Dozor / InfoWatch.</w:t>
      </w:r>
    </w:p>
    <w:p>
      <w:pPr>
        <w:pStyle w:val="Compact"/>
        <w:numPr>
          <w:ilvl w:val="0"/>
          <w:numId w:val="1010"/>
        </w:numPr>
      </w:pPr>
      <w:r>
        <w:t xml:space="preserve">WAF: PT Application Firewall / SolidWall.</w:t>
      </w:r>
    </w:p>
    <w:p>
      <w:pPr>
        <w:pStyle w:val="Compact"/>
        <w:numPr>
          <w:ilvl w:val="0"/>
          <w:numId w:val="1010"/>
        </w:numPr>
      </w:pPr>
      <w:r>
        <w:t xml:space="preserve">Системы анализа кода: PT Application Inspector, AppSec.Hub.</w:t>
      </w:r>
    </w:p>
    <w:p>
      <w:pPr>
        <w:pStyle w:val="Compact"/>
        <w:numPr>
          <w:ilvl w:val="0"/>
          <w:numId w:val="1010"/>
        </w:numPr>
      </w:pPr>
      <w:r>
        <w:t xml:space="preserve">VPN: ВипНет, КонтинентАП.</w:t>
      </w:r>
    </w:p>
    <w:bookmarkEnd w:id="22"/>
    <w:bookmarkStart w:id="23" w:name="наблюдаемость-observability"/>
    <w:p>
      <w:pPr>
        <w:pStyle w:val="Heading3"/>
      </w:pPr>
      <w:r>
        <w:t xml:space="preserve">5.7. Наблюдаемость (Observability)</w:t>
      </w:r>
    </w:p>
    <w:p>
      <w:pPr>
        <w:pStyle w:val="Compact"/>
        <w:numPr>
          <w:ilvl w:val="0"/>
          <w:numId w:val="1011"/>
        </w:numPr>
      </w:pPr>
      <w:r>
        <w:t xml:space="preserve">Метрики: VictoriaMetrics, отечественный Prometheus-стек.</w:t>
      </w:r>
    </w:p>
    <w:p>
      <w:pPr>
        <w:pStyle w:val="Compact"/>
        <w:numPr>
          <w:ilvl w:val="0"/>
          <w:numId w:val="1011"/>
        </w:numPr>
      </w:pPr>
      <w:r>
        <w:t xml:space="preserve">Логи: Loki / отечественный аналог.</w:t>
      </w:r>
    </w:p>
    <w:p>
      <w:pPr>
        <w:pStyle w:val="Compact"/>
        <w:numPr>
          <w:ilvl w:val="0"/>
          <w:numId w:val="1011"/>
        </w:numPr>
      </w:pPr>
      <w:r>
        <w:t xml:space="preserve">Трассировка: Jaeger / отечественный OpenTelemetry-стек.</w:t>
      </w:r>
    </w:p>
    <w:p>
      <w:pPr>
        <w:pStyle w:val="Compact"/>
        <w:numPr>
          <w:ilvl w:val="0"/>
          <w:numId w:val="1011"/>
        </w:numPr>
      </w:pPr>
      <w:r>
        <w:t xml:space="preserve">Дашборды: Grafana OSS на собственной инфраструктуре.</w:t>
      </w:r>
    </w:p>
    <w:bookmarkEnd w:id="23"/>
    <w:bookmarkEnd w:id="24"/>
    <w:bookmarkStart w:id="25" w:name="архитектурные-принципы"/>
    <w:p>
      <w:pPr>
        <w:pStyle w:val="Heading2"/>
      </w:pPr>
      <w:r>
        <w:t xml:space="preserve">6. Архитектурные принципы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Государственная значимость на первом месте.</w:t>
      </w:r>
      <w:r>
        <w:t xml:space="preserve"> </w:t>
      </w:r>
      <w:r>
        <w:t xml:space="preserve">Безопасность, надёжность и регуляторная совместимость приоритетнее скорости разработки.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Импортонезависимость 100%.</w:t>
      </w:r>
      <w:r>
        <w:t xml:space="preserve"> </w:t>
      </w:r>
      <w:r>
        <w:t xml:space="preserve">Все компоненты — из реестра Минцифры или сертифицированы ФСТЭК.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Event-driven.</w:t>
      </w:r>
      <w:r>
        <w:t xml:space="preserve"> </w:t>
      </w:r>
      <w:r>
        <w:t xml:space="preserve">Все бизнес-процессы (выпуск ЦФА, мена, страховой случай) — асинхронные события с прослеживаемостью.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Immutable audit log.</w:t>
      </w:r>
      <w:r>
        <w:t xml:space="preserve"> </w:t>
      </w:r>
      <w:r>
        <w:t xml:space="preserve">Все ключевые операции пишутся в DLT-реестр и в централизованный журнал аудита; данные неизменяемы.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Zero-Trust.</w:t>
      </w:r>
      <w:r>
        <w:t xml:space="preserve"> </w:t>
      </w:r>
      <w:r>
        <w:t xml:space="preserve">Каждое обращение между микросервисами — с аутентификацией mTLS.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Secure by Design.</w:t>
      </w:r>
      <w:r>
        <w:t xml:space="preserve"> </w:t>
      </w:r>
      <w:r>
        <w:t xml:space="preserve">Безопасность встроена с этапа архитектуры (Privacy by Design, KIIS by Design).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Cloud-agnostic on-prem.</w:t>
      </w:r>
      <w:r>
        <w:t xml:space="preserve"> </w:t>
      </w:r>
      <w:r>
        <w:t xml:space="preserve">Платформа разворачивается на собственной инфраструктуре, без зависимости от иностранных облаков.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API-first.</w:t>
      </w:r>
      <w:r>
        <w:t xml:space="preserve"> </w:t>
      </w:r>
      <w:r>
        <w:t xml:space="preserve">Все интеграции — через документированные API (OpenAPI 3.1).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GitOps + IaC.</w:t>
      </w:r>
      <w:r>
        <w:t xml:space="preserve"> </w:t>
      </w:r>
      <w:r>
        <w:t xml:space="preserve">Инфраструктура и конфигурации — в git с автоматическим деплоем (Argo CD / отечественный аналог).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Резервирование уровня N+2.</w:t>
      </w:r>
      <w:r>
        <w:t xml:space="preserve"> </w:t>
      </w:r>
      <w:r>
        <w:t xml:space="preserve">Критичные сервисы — с двойным резервированием.</w:t>
      </w:r>
    </w:p>
    <w:bookmarkEnd w:id="25"/>
    <w:bookmarkStart w:id="26" w:name="X5b051240190132629e425534156393f1787eb45"/>
    <w:p>
      <w:pPr>
        <w:pStyle w:val="Heading2"/>
      </w:pPr>
      <w:r>
        <w:t xml:space="preserve">7. Соответствие требованиям ГОСТ 34 и приказов ФСТЭК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Раздел / пункт</w:t>
            </w:r>
          </w:p>
        </w:tc>
        <w:tc>
          <w:tcPr/>
          <w:p>
            <w:pPr>
              <w:pStyle w:val="Compact"/>
            </w:pPr>
            <w:r>
              <w:t xml:space="preserve">Покрывается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34.602-2020</w:t>
            </w:r>
          </w:p>
        </w:tc>
        <w:tc>
          <w:tcPr/>
          <w:p>
            <w:pPr>
              <w:pStyle w:val="Compact"/>
            </w:pPr>
            <w:r>
              <w:t xml:space="preserve">Структура ТЗ</w:t>
            </w:r>
          </w:p>
        </w:tc>
        <w:tc>
          <w:tcPr/>
          <w:p>
            <w:pPr>
              <w:pStyle w:val="Compact"/>
            </w:pPr>
            <w: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34.601-90</w:t>
            </w:r>
          </w:p>
        </w:tc>
        <w:tc>
          <w:tcPr/>
          <w:p>
            <w:pPr>
              <w:pStyle w:val="Compact"/>
            </w:pPr>
            <w:r>
              <w:t xml:space="preserve">Стадии создания АС</w:t>
            </w:r>
          </w:p>
        </w:tc>
        <w:tc>
          <w:tcPr/>
          <w:p>
            <w:pPr>
              <w:pStyle w:val="Compact"/>
            </w:pPr>
            <w: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ФСТЭК №239</w:t>
            </w:r>
          </w:p>
        </w:tc>
        <w:tc>
          <w:tcPr/>
          <w:p>
            <w:pPr>
              <w:pStyle w:val="Compact"/>
            </w:pPr>
            <w:r>
              <w:t xml:space="preserve">Защита АСУ ТП</w:t>
            </w:r>
          </w:p>
        </w:tc>
        <w:tc>
          <w:tcPr/>
          <w:p>
            <w:pPr>
              <w:pStyle w:val="Compact"/>
            </w:pPr>
            <w:r>
              <w:t xml:space="preserve">Применимо в части КИИ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ФСТЭК №17</w:t>
            </w:r>
          </w:p>
        </w:tc>
        <w:tc>
          <w:tcPr/>
          <w:p>
            <w:pPr>
              <w:pStyle w:val="Compact"/>
            </w:pPr>
            <w:r>
              <w:t xml:space="preserve">Защита информации в ГИС</w:t>
            </w:r>
          </w:p>
        </w:tc>
        <w:tc>
          <w:tcPr/>
          <w:p>
            <w:pPr>
              <w:pStyle w:val="Compact"/>
            </w:pPr>
            <w:r>
              <w:t xml:space="preserve">Применимо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ФСТЭК №21</w:t>
            </w:r>
          </w:p>
        </w:tc>
        <w:tc>
          <w:tcPr/>
          <w:p>
            <w:pPr>
              <w:pStyle w:val="Compact"/>
            </w:pPr>
            <w:r>
              <w:t xml:space="preserve">Защита ПДн</w:t>
            </w:r>
          </w:p>
        </w:tc>
        <w:tc>
          <w:tcPr/>
          <w:p>
            <w:pPr>
              <w:pStyle w:val="Compact"/>
            </w:pPr>
            <w:r>
              <w:t xml:space="preserve">Применимо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ПП РФ №1119</w:t>
            </w:r>
          </w:p>
        </w:tc>
        <w:tc>
          <w:tcPr/>
          <w:p>
            <w:pPr>
              <w:pStyle w:val="Compact"/>
            </w:pPr>
            <w:r>
              <w:t xml:space="preserve">УЗ-1 для ИСПДн</w:t>
            </w:r>
          </w:p>
        </w:tc>
        <w:tc>
          <w:tcPr/>
          <w:p>
            <w:pPr>
              <w:pStyle w:val="Compact"/>
            </w:pPr>
            <w:r>
              <w:t xml:space="preserve">Применимо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ПП РФ №1236</w:t>
            </w:r>
          </w:p>
        </w:tc>
        <w:tc>
          <w:tcPr/>
          <w:p>
            <w:pPr>
              <w:pStyle w:val="Compact"/>
            </w:pPr>
            <w:r>
              <w:t xml:space="preserve">Реестр российского ПО</w:t>
            </w:r>
          </w:p>
        </w:tc>
        <w:tc>
          <w:tcPr/>
          <w:p>
            <w:pPr>
              <w:pStyle w:val="Compact"/>
            </w:pPr>
            <w:r>
              <w:t xml:space="preserve">Применимо</w:t>
            </w:r>
          </w:p>
        </w:tc>
      </w:tr>
    </w:tbl>
    <w:bookmarkEnd w:id="26"/>
    <w:bookmarkStart w:id="27" w:name="дальнейшая-декомпозиция"/>
    <w:p>
      <w:pPr>
        <w:pStyle w:val="Heading2"/>
      </w:pPr>
      <w:r>
        <w:t xml:space="preserve">8. Дальнейшая декомпозиция</w:t>
      </w:r>
    </w:p>
    <w:p>
      <w:pPr>
        <w:pStyle w:val="FirstParagraph"/>
      </w:pPr>
      <w:r>
        <w:t xml:space="preserve">Документ является вводной частью технического пакета. Детализация см. в файлах: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02_Функциональные_требования.md</w:t>
      </w:r>
      <w:r>
        <w:t xml:space="preserve"> </w:t>
      </w:r>
      <w:r>
        <w:t xml:space="preserve">— PRD.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03_Нефункциональные_требования.md</w:t>
      </w:r>
      <w:r>
        <w:t xml:space="preserve"> </w:t>
      </w:r>
      <w:r>
        <w:t xml:space="preserve">— расширенные NFR.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04_Интеграции_с_ГИС.md</w:t>
      </w:r>
      <w:r>
        <w:t xml:space="preserve"> </w:t>
      </w:r>
      <w:r>
        <w:t xml:space="preserve">— спецификации интеграций.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05_Безопасность_и_КИИ.md</w:t>
      </w:r>
      <w:r>
        <w:t xml:space="preserve"> </w:t>
      </w:r>
      <w:r>
        <w:t xml:space="preserve">— модель угроз и СЗИ.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06_DLT_реестр_ЦФА.md</w:t>
      </w:r>
      <w:r>
        <w:t xml:space="preserve"> </w:t>
      </w:r>
      <w:r>
        <w:t xml:space="preserve">— реестр и смарт-контракты.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07_Дорожная_карта_разработки.md</w:t>
      </w:r>
      <w:r>
        <w:t xml:space="preserve"> </w:t>
      </w:r>
      <w:r>
        <w:t xml:space="preserve">— план реализации.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08_Архитектурные_диаграммы.md</w:t>
      </w:r>
      <w:r>
        <w:t xml:space="preserve"> </w:t>
      </w:r>
      <w:r>
        <w:t xml:space="preserve">— С4-диаграммы.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2026-05-23T20:40:12Z</dcterms:created>
  <dcterms:modified xsi:type="dcterms:W3CDTF">2026-05-23T20:40:12Z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