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функциональные-требования-prd-цп-рсфср"/>
    <w:p>
      <w:pPr>
        <w:pStyle w:val="Heading1"/>
      </w:pPr>
      <w:r>
        <w:t xml:space="preserve">Функциональные требования (PRD) ЦП РСФСР</w:t>
      </w:r>
    </w:p>
    <w:p>
      <w:pPr>
        <w:pStyle w:val="FirstParagraph"/>
      </w:pPr>
      <w:r>
        <w:t xml:space="preserve">Документ описывает функциональные модули платформы и пользовательские сценарии в формате User Story + критерии приёмки.</w:t>
      </w:r>
    </w:p>
    <w:p>
      <w:r>
        <w:pict>
          <v:rect style="width:0;height:1.5pt" o:hralign="center" o:hrstd="t" o:hr="t"/>
        </w:pict>
      </w:r>
    </w:p>
    <w:bookmarkStart w:id="9" w:name="перечень-функциональных-модулей"/>
    <w:p>
      <w:pPr>
        <w:pStyle w:val="Heading2"/>
      </w:pPr>
      <w:r>
        <w:t xml:space="preserve">1. Перечень функциональных модулей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Личный кабинет залогодателя</w:t>
            </w:r>
          </w:p>
        </w:tc>
        <w:tc>
          <w:tcPr/>
          <w:p>
            <w:pPr>
              <w:pStyle w:val="Compact"/>
            </w:pPr>
            <w:r>
              <w:t xml:space="preserve">Регистрация, KYC, профиль, активы, доходы, документы.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Регистрация и идентификация (KYC/AML)</w:t>
            </w:r>
          </w:p>
        </w:tc>
        <w:tc>
          <w:tcPr/>
          <w:p>
            <w:pPr>
              <w:pStyle w:val="Compact"/>
            </w:pPr>
            <w:r>
              <w:t xml:space="preserve">Через ЕСИА, ЕБС; проверка 115-ФЗ; риск-скоринг.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Каталог активов</w:t>
            </w:r>
          </w:p>
        </w:tc>
        <w:tc>
          <w:tcPr/>
          <w:p>
            <w:pPr>
              <w:pStyle w:val="Compact"/>
            </w:pPr>
            <w:r>
              <w:t xml:space="preserve">Подача активов на залог; интеграция с ЕГРН / Роспатентом / реестрами.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Модуль оценки</w:t>
            </w:r>
          </w:p>
        </w:tc>
        <w:tc>
          <w:tcPr/>
          <w:p>
            <w:pPr>
              <w:pStyle w:val="Compact"/>
            </w:pPr>
            <w:r>
              <w:t xml:space="preserve">Заявка авторизованному оценщику; результат оценки; страхование.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t xml:space="preserve">Эмитент ЦФА</w:t>
            </w:r>
          </w:p>
        </w:tc>
        <w:tc>
          <w:tcPr/>
          <w:p>
            <w:pPr>
              <w:pStyle w:val="Compact"/>
            </w:pPr>
            <w:r>
              <w:t xml:space="preserve">Выпуск, учёт, переходы статусов, мена ЦФА в DLT-реестре.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t xml:space="preserve">Смарт-контракты</w:t>
            </w:r>
          </w:p>
        </w:tc>
        <w:tc>
          <w:tcPr/>
          <w:p>
            <w:pPr>
              <w:pStyle w:val="Compact"/>
            </w:pPr>
            <w:r>
              <w:t xml:space="preserve">Конструктор, шаблоны, исполнение, события.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M-07</w:t>
            </w:r>
          </w:p>
        </w:tc>
        <w:tc>
          <w:tcPr/>
          <w:p>
            <w:pPr>
              <w:pStyle w:val="Compact"/>
            </w:pPr>
            <w:r>
              <w:t xml:space="preserve">Эскроу-адаптер ЦБ</w:t>
            </w:r>
          </w:p>
        </w:tc>
        <w:tc>
          <w:tcPr/>
          <w:p>
            <w:pPr>
              <w:pStyle w:val="Compact"/>
            </w:pPr>
            <w:r>
              <w:t xml:space="preserve">Передача ЦФА в ЦБ; интеграция со специальным эскроу.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Адаптер Федерального казначейства</w:t>
            </w:r>
          </w:p>
        </w:tc>
        <w:tc>
          <w:tcPr/>
          <w:p>
            <w:pPr>
              <w:pStyle w:val="Compact"/>
            </w:pPr>
            <w:r>
              <w:t xml:space="preserve">Подтверждение целевого расходования.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M-09</w:t>
            </w:r>
          </w:p>
        </w:tc>
        <w:tc>
          <w:tcPr/>
          <w:p>
            <w:pPr>
              <w:pStyle w:val="Compact"/>
            </w:pPr>
            <w:r>
              <w:t xml:space="preserve">Управление портфелем</w:t>
            </w:r>
          </w:p>
        </w:tc>
        <w:tc>
          <w:tcPr/>
          <w:p>
            <w:pPr>
              <w:pStyle w:val="Compact"/>
            </w:pPr>
            <w:r>
              <w:t xml:space="preserve">Анализ позиций оператора, аналитика, прогнозы.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</w:t>
            </w:r>
          </w:p>
        </w:tc>
        <w:tc>
          <w:tcPr/>
          <w:p>
            <w:pPr>
              <w:pStyle w:val="Compact"/>
            </w:pPr>
            <w:r>
              <w:t xml:space="preserve">Регуляторная отчётность</w:t>
            </w:r>
          </w:p>
        </w:tc>
        <w:tc>
          <w:tcPr/>
          <w:p>
            <w:pPr>
              <w:pStyle w:val="Compact"/>
            </w:pPr>
            <w:r>
              <w:t xml:space="preserve">Формирование форм для ЦБ, Росфинмониторинга, ФНС.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M-11</w:t>
            </w:r>
          </w:p>
        </w:tc>
        <w:tc>
          <w:tcPr/>
          <w:p>
            <w:pPr>
              <w:pStyle w:val="Compact"/>
            </w:pPr>
            <w:r>
              <w:t xml:space="preserve">Партнёрский кабинет</w:t>
            </w:r>
          </w:p>
        </w:tc>
        <w:tc>
          <w:tcPr/>
          <w:p>
            <w:pPr>
              <w:pStyle w:val="Compact"/>
            </w:pPr>
            <w:r>
              <w:t xml:space="preserve">Кабинеты оценщиков, страховых, банков-партнёров.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M-12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кабинет</w:t>
            </w:r>
          </w:p>
        </w:tc>
        <w:tc>
          <w:tcPr/>
          <w:p>
            <w:pPr>
              <w:pStyle w:val="Compact"/>
            </w:pPr>
            <w:r>
              <w:t xml:space="preserve">Управление пользователями, ролями, политиками, audit 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M-13</w:t>
            </w:r>
          </w:p>
        </w:tc>
        <w:tc>
          <w:tcPr/>
          <w:p>
            <w:pPr>
              <w:pStyle w:val="Compact"/>
            </w:pPr>
            <w:r>
              <w:t xml:space="preserve">Безопасность и аудит</w:t>
            </w:r>
          </w:p>
        </w:tc>
        <w:tc>
          <w:tcPr/>
          <w:p>
            <w:pPr>
              <w:pStyle w:val="Compact"/>
            </w:pPr>
            <w:r>
              <w:t xml:space="preserve">DLP, SIEM-интеграция, неизменяемый журнал событий.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M-14</w:t>
            </w:r>
          </w:p>
        </w:tc>
        <w:tc>
          <w:tcPr/>
          <w:p>
            <w:pPr>
              <w:pStyle w:val="Compact"/>
            </w:pPr>
            <w:r>
              <w:t xml:space="preserve">Нотификации</w:t>
            </w:r>
          </w:p>
        </w:tc>
        <w:tc>
          <w:tcPr/>
          <w:p>
            <w:pPr>
              <w:pStyle w:val="Compact"/>
            </w:pPr>
            <w:r>
              <w:t xml:space="preserve">Push, SMS, email, уведомления через Госуслуги.</w:t>
            </w:r>
          </w:p>
        </w:tc>
      </w:tr>
    </w:tbl>
    <w:bookmarkEnd w:id="9"/>
    <w:bookmarkStart w:id="20" w:name="ключевые-пользовательские-сценарии"/>
    <w:p>
      <w:pPr>
        <w:pStyle w:val="Heading2"/>
      </w:pPr>
      <w:r>
        <w:t xml:space="preserve">2. Ключевые пользовательские сценарии</w:t>
      </w:r>
    </w:p>
    <w:bookmarkStart w:id="10" w:name="us-01.-регистрация-залогодателя"/>
    <w:p>
      <w:pPr>
        <w:pStyle w:val="Heading3"/>
      </w:pPr>
      <w:r>
        <w:t xml:space="preserve">US-01. Регистрация залогодателя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собственник имущества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зарегистрироваться на платформе через Госуслуги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получить доступ к подаче активов на залог.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Авторизация через ЕСИА с подтверждённой учётной записью.</w:t>
      </w:r>
      <w:r>
        <w:t xml:space="preserve"> </w:t>
      </w:r>
      <w:r>
        <w:t xml:space="preserve">2. Проверка по реестру дисквалифицированных лиц и санкционным спискам (115-ФЗ).</w:t>
      </w:r>
      <w:r>
        <w:t xml:space="preserve"> </w:t>
      </w:r>
      <w:r>
        <w:t xml:space="preserve">3. Проверка ПДн на корректность.</w:t>
      </w:r>
      <w:r>
        <w:t xml:space="preserve"> </w:t>
      </w:r>
      <w:r>
        <w:t xml:space="preserve">4. При успехе — выдача персонального ID платформы (</w:t>
      </w:r>
      <w:r>
        <w:rPr>
          <w:rStyle w:val="VerbatimChar"/>
        </w:rPr>
        <w:t xml:space="preserve">usr-rsfsr-{n}</w:t>
      </w:r>
      <w:r>
        <w:t xml:space="preserve">).</w:t>
      </w:r>
      <w:r>
        <w:t xml:space="preserve"> </w:t>
      </w:r>
      <w:r>
        <w:t xml:space="preserve">5. При несоответствии — мотивированный отказ с указанием причины.</w:t>
      </w:r>
    </w:p>
    <w:bookmarkEnd w:id="10"/>
    <w:bookmarkStart w:id="11" w:name="us-02.-подача-актива-на-залог"/>
    <w:p>
      <w:pPr>
        <w:pStyle w:val="Heading3"/>
      </w:pPr>
      <w:r>
        <w:t xml:space="preserve">US-02. Подача актива на залог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залогодатель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подать актив с автоматической подгрузкой характеристик из ЕГРН/Роспатента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не вводить данные вручную.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Тип имущества выбран из справочника (недвижимость, транспорт, ИС, ценные бумаги).</w:t>
      </w:r>
      <w:r>
        <w:t xml:space="preserve"> </w:t>
      </w:r>
      <w:r>
        <w:t xml:space="preserve">2. Для недвижимости автозагрузка из ЕГРН по кадастровому номеру.</w:t>
      </w:r>
      <w:r>
        <w:t xml:space="preserve"> </w:t>
      </w:r>
      <w:r>
        <w:t xml:space="preserve">3. Для транспорта — из ГИС ГИБДД (если применимо).</w:t>
      </w:r>
      <w:r>
        <w:t xml:space="preserve"> </w:t>
      </w:r>
      <w:r>
        <w:t xml:space="preserve">4. Для ИС — из Роспатента.</w:t>
      </w:r>
      <w:r>
        <w:t xml:space="preserve"> </w:t>
      </w:r>
      <w:r>
        <w:t xml:space="preserve">5. Для ценных бумаг — из реестра депозитария.</w:t>
      </w:r>
      <w:r>
        <w:t xml:space="preserve"> </w:t>
      </w:r>
      <w:r>
        <w:t xml:space="preserve">6. Возможность дозаполнения вручную.</w:t>
      </w:r>
      <w:r>
        <w:t xml:space="preserve"> </w:t>
      </w:r>
      <w:r>
        <w:t xml:space="preserve">7. Прикрепление документов (свидетельство, договоры).</w:t>
      </w:r>
      <w:r>
        <w:t xml:space="preserve"> </w:t>
      </w:r>
      <w:r>
        <w:t xml:space="preserve">8. Запрос на оценку оценочной организации-партнёру.</w:t>
      </w:r>
    </w:p>
    <w:bookmarkEnd w:id="11"/>
    <w:bookmarkStart w:id="12" w:name="us-03.-оценка-актива"/>
    <w:p>
      <w:pPr>
        <w:pStyle w:val="Heading3"/>
      </w:pPr>
      <w:r>
        <w:t xml:space="preserve">US-03. Оценка актива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оценщик-партнёр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получить заявку на оценку, выполнить её и зафиксировать результат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запустить выпуск ЦФА.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Получение оценщиком заявки в кабинете партнёра.</w:t>
      </w:r>
      <w:r>
        <w:t xml:space="preserve"> </w:t>
      </w:r>
      <w:r>
        <w:t xml:space="preserve">2. Проведение оценки согласно методике (135-ФЗ).</w:t>
      </w:r>
      <w:r>
        <w:t xml:space="preserve"> </w:t>
      </w:r>
      <w:r>
        <w:t xml:space="preserve">3. Фиксация результата в форме с обязательными полями: оценочная стоимость, метод, дата, страхование.</w:t>
      </w:r>
      <w:r>
        <w:t xml:space="preserve"> </w:t>
      </w:r>
      <w:r>
        <w:t xml:space="preserve">4. Электронная подпись результата оценщиком (УКЭП).</w:t>
      </w:r>
      <w:r>
        <w:t xml:space="preserve"> </w:t>
      </w:r>
      <w:r>
        <w:t xml:space="preserve">5. Автоматическая публикация результата в кабинете залогодателя.</w:t>
      </w:r>
      <w:r>
        <w:t xml:space="preserve"> </w:t>
      </w:r>
      <w:r>
        <w:t xml:space="preserve">6. Срок действия оценки — 6 месяцев (стандартно).</w:t>
      </w:r>
    </w:p>
    <w:bookmarkEnd w:id="12"/>
    <w:bookmarkStart w:id="13" w:name="us-04.-подписание-смарт-контракта"/>
    <w:p>
      <w:pPr>
        <w:pStyle w:val="Heading3"/>
      </w:pPr>
      <w:r>
        <w:t xml:space="preserve">US-04. Подписание смарт-контракта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залогодатель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настроить условия и подписать смарт-контракт ЦФА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запустить выпуск актива.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Конструктор условий: срок (12/24/36/60 мес.), доля номинала (по умолчанию 50% оценки), ставка вознаграждения, целевое использование.</w:t>
      </w:r>
      <w:r>
        <w:t xml:space="preserve"> </w:t>
      </w:r>
      <w:r>
        <w:t xml:space="preserve">2. Отображение полного текста смарт-контракта (PDF-предпросмотр).</w:t>
      </w:r>
      <w:r>
        <w:t xml:space="preserve"> </w:t>
      </w:r>
      <w:r>
        <w:t xml:space="preserve">3. Двухфакторное подтверждение (ЕСИА + SMS/биометрия).</w:t>
      </w:r>
      <w:r>
        <w:t xml:space="preserve"> </w:t>
      </w:r>
      <w:r>
        <w:t xml:space="preserve">4. Подписание УКЭП ГОСТ Р 34.10-2012.</w:t>
      </w:r>
      <w:r>
        <w:t xml:space="preserve"> </w:t>
      </w:r>
      <w:r>
        <w:t xml:space="preserve">5. После подписания — автоматическая регистрация обременения в ЕГРН.</w:t>
      </w:r>
      <w:r>
        <w:t xml:space="preserve"> </w:t>
      </w:r>
      <w:r>
        <w:t xml:space="preserve">6. Уведомление залогодателя о завершении.</w:t>
      </w:r>
    </w:p>
    <w:bookmarkEnd w:id="13"/>
    <w:bookmarkStart w:id="14" w:name="us-05.-выпуск-цфа"/>
    <w:p>
      <w:pPr>
        <w:pStyle w:val="Heading3"/>
      </w:pPr>
      <w:r>
        <w:t xml:space="preserve">US-05. Выпуск ЦФА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оператор платформы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автоматически выпустить ЦФА после подписания смарт-контракта и обременения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передать его в Банк России.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Создание записи в DLT-реестре с уникальным ID (</w:t>
      </w:r>
      <w:r>
        <w:rPr>
          <w:rStyle w:val="VerbatimChar"/>
        </w:rPr>
        <w:t xml:space="preserve">cfa-{hash}-rsfsr-{year}-{seq}</w:t>
      </w:r>
      <w:r>
        <w:t xml:space="preserve">).</w:t>
      </w:r>
      <w:r>
        <w:t xml:space="preserve"> </w:t>
      </w:r>
      <w:r>
        <w:t xml:space="preserve">2. Хеширование смарт-контракта ГОСТ Р 34.11-2012.</w:t>
      </w:r>
      <w:r>
        <w:t xml:space="preserve"> </w:t>
      </w:r>
      <w:r>
        <w:t xml:space="preserve">3. Уведомление Банка России через защищённый канал.</w:t>
      </w:r>
      <w:r>
        <w:t xml:space="preserve"> </w:t>
      </w:r>
      <w:r>
        <w:t xml:space="preserve">4. Подтверждение от Банка России о приёме ЦФА.</w:t>
      </w:r>
      <w:r>
        <w:t xml:space="preserve"> </w:t>
      </w:r>
      <w:r>
        <w:t xml:space="preserve">5. Возврат подтверждения залогодателю.</w:t>
      </w:r>
    </w:p>
    <w:bookmarkEnd w:id="14"/>
    <w:bookmarkStart w:id="15" w:name="us-06.-мена-цфа"/>
    <w:p>
      <w:pPr>
        <w:pStyle w:val="Heading3"/>
      </w:pPr>
      <w:r>
        <w:t xml:space="preserve">US-06. Мена ЦФА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оператор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автоматически провести мену ЦФА после ввода нового объекта в эксплуатацию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заместить первоначальный залог собственника.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Получение свидетельства о собственности на новый объект через ЕГРН.</w:t>
      </w:r>
      <w:r>
        <w:t xml:space="preserve"> </w:t>
      </w:r>
      <w:r>
        <w:t xml:space="preserve">2. Выпуск нового ЦФА с большей оценкой.</w:t>
      </w:r>
      <w:r>
        <w:t xml:space="preserve"> </w:t>
      </w:r>
      <w:r>
        <w:t xml:space="preserve">3. Запрос на мену в Банк России.</w:t>
      </w:r>
      <w:r>
        <w:t xml:space="preserve"> </w:t>
      </w:r>
      <w:r>
        <w:t xml:space="preserve">4. Подтверждение мены, подписание Акта о взаиморасчётах всеми сторонами.</w:t>
      </w:r>
      <w:r>
        <w:t xml:space="preserve"> </w:t>
      </w:r>
      <w:r>
        <w:t xml:space="preserve">5. Снятие обременения в ЕГРН.</w:t>
      </w:r>
      <w:r>
        <w:t xml:space="preserve"> </w:t>
      </w:r>
      <w:r>
        <w:t xml:space="preserve">6. Выплата вознаграждения собственнику на банковский счёт.</w:t>
      </w:r>
    </w:p>
    <w:bookmarkEnd w:id="15"/>
    <w:bookmarkStart w:id="16" w:name="us-07.-страховой-случай"/>
    <w:p>
      <w:pPr>
        <w:pStyle w:val="Heading3"/>
      </w:pPr>
      <w:r>
        <w:t xml:space="preserve">US-07. Страховой случай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оператор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инициировать страховой ЦФА от страховой компании-партнёра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компенсировать первоначальный ЦФА собственника.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Регистрация страхового случая с документальным подтверждением.</w:t>
      </w:r>
      <w:r>
        <w:t xml:space="preserve"> </w:t>
      </w:r>
      <w:r>
        <w:t xml:space="preserve">2. Выпуск страховой компанией собственного ЦФА через платформу.</w:t>
      </w:r>
      <w:r>
        <w:t xml:space="preserve"> </w:t>
      </w:r>
      <w:r>
        <w:t xml:space="preserve">3. Мена с первоначальным ЦФА собственника.</w:t>
      </w:r>
      <w:r>
        <w:t xml:space="preserve"> </w:t>
      </w:r>
      <w:r>
        <w:t xml:space="preserve">4. Подписание акта.</w:t>
      </w:r>
      <w:r>
        <w:t xml:space="preserve"> </w:t>
      </w:r>
      <w:r>
        <w:t xml:space="preserve">5. Выплата компенсации.</w:t>
      </w:r>
    </w:p>
    <w:bookmarkEnd w:id="16"/>
    <w:bookmarkStart w:id="17" w:name="us-08.-доходы-и-история"/>
    <w:p>
      <w:pPr>
        <w:pStyle w:val="Heading3"/>
      </w:pPr>
      <w:r>
        <w:t xml:space="preserve">US-08. Доходы и история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залогодатель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историю своих ЦФА и доходов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управлять портфелем.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Дашборд с активами, статусами, текущими доходами.</w:t>
      </w:r>
      <w:r>
        <w:t xml:space="preserve"> </w:t>
      </w:r>
      <w:r>
        <w:t xml:space="preserve">2. История выплат.</w:t>
      </w:r>
      <w:r>
        <w:t xml:space="preserve"> </w:t>
      </w:r>
      <w:r>
        <w:t xml:space="preserve">3. Экспорт в PDF и Excel.</w:t>
      </w:r>
      <w:r>
        <w:t xml:space="preserve"> </w:t>
      </w:r>
      <w:r>
        <w:t xml:space="preserve">4. Налоговая справка 2-НДФЛ автоматически (для физлиц).</w:t>
      </w:r>
    </w:p>
    <w:bookmarkEnd w:id="17"/>
    <w:bookmarkStart w:id="18" w:name="us-09.-регуляторная-отчётность"/>
    <w:p>
      <w:pPr>
        <w:pStyle w:val="Heading3"/>
      </w:pPr>
      <w:r>
        <w:t xml:space="preserve">US-09. Регуляторная отчётность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оператор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формировать обязательную отчётность для регуляторов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соответствовать требованиям 259-ФЗ и инструкциям ЦБ.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Формирование отчётности по 115-ФЗ для Росфинмониторинга.</w:t>
      </w:r>
      <w:r>
        <w:t xml:space="preserve"> </w:t>
      </w:r>
      <w:r>
        <w:t xml:space="preserve">2. Регулярные отчёты в ЦБ РФ (по 779-П).</w:t>
      </w:r>
      <w:r>
        <w:t xml:space="preserve"> </w:t>
      </w:r>
      <w:r>
        <w:t xml:space="preserve">3. Налоговая отчётность по операциям с ЦФА.</w:t>
      </w:r>
      <w:r>
        <w:t xml:space="preserve"> </w:t>
      </w:r>
      <w:r>
        <w:t xml:space="preserve">4. Согласование подписей УКЭП.</w:t>
      </w:r>
    </w:p>
    <w:bookmarkEnd w:id="18"/>
    <w:bookmarkStart w:id="19" w:name="us-10.-управление-инцидентами-иб"/>
    <w:p>
      <w:pPr>
        <w:pStyle w:val="Heading3"/>
      </w:pPr>
      <w:r>
        <w:t xml:space="preserve">US-10. Управление инцидентами ИБ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офицер ИБ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получать события из SIEM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реагировать на инциденты согласно Указанию №6635-У.</w:t>
      </w:r>
    </w:p>
    <w:p>
      <w:pPr>
        <w:pStyle w:val="BodyText"/>
      </w:pPr>
      <w:r>
        <w:t xml:space="preserve">Критерии приёмки:</w:t>
      </w:r>
      <w:r>
        <w:t xml:space="preserve"> </w:t>
      </w:r>
      <w:r>
        <w:t xml:space="preserve">1. Категоризация инцидентов.</w:t>
      </w:r>
      <w:r>
        <w:t xml:space="preserve"> </w:t>
      </w:r>
      <w:r>
        <w:t xml:space="preserve">2. Уведомление Банка России в установленные сроки.</w:t>
      </w:r>
      <w:r>
        <w:t xml:space="preserve"> </w:t>
      </w:r>
      <w:r>
        <w:t xml:space="preserve">3. Уведомление ГосСОПКА.</w:t>
      </w:r>
      <w:r>
        <w:t xml:space="preserve"> </w:t>
      </w:r>
      <w:r>
        <w:t xml:space="preserve">4. Журнал реагирования.</w:t>
      </w:r>
    </w:p>
    <w:bookmarkEnd w:id="19"/>
    <w:bookmarkEnd w:id="20"/>
    <w:bookmarkStart w:id="21" w:name="бизнес-правила"/>
    <w:p>
      <w:pPr>
        <w:pStyle w:val="Heading2"/>
      </w:pPr>
      <w:r>
        <w:t xml:space="preserve">3. Бизнес-правила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Залоговая стоимость</w:t>
      </w:r>
      <w:r>
        <w:t xml:space="preserve"> </w:t>
      </w:r>
      <w:r>
        <w:t xml:space="preserve">= не более 50% оценочной стоимости (консервативное правило для пилотной фазы).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Минимальный срок</w:t>
      </w:r>
      <w:r>
        <w:t xml:space="preserve"> </w:t>
      </w:r>
      <w:r>
        <w:t xml:space="preserve">ЦФА = 12 месяцев. Максимальный = 60 месяцев.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Ставка вознаграждения</w:t>
      </w:r>
      <w:r>
        <w:t xml:space="preserve"> </w:t>
      </w:r>
      <w:r>
        <w:t xml:space="preserve">залогодателю = от 3% до 6% годовых (определяется условиями нацпроекта).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Одно физлицо</w:t>
      </w:r>
      <w:r>
        <w:t xml:space="preserve"> </w:t>
      </w:r>
      <w:r>
        <w:t xml:space="preserve">может одновременно иметь не более 5 активных ЦФА.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Одно юрлицо</w:t>
      </w:r>
      <w:r>
        <w:t xml:space="preserve"> </w:t>
      </w:r>
      <w:r>
        <w:t xml:space="preserve">— не более 50 активных ЦФА.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Страхование</w:t>
      </w:r>
      <w:r>
        <w:t xml:space="preserve"> </w:t>
      </w:r>
      <w:r>
        <w:t xml:space="preserve">залогового актива и самого ЦФА обязательно для всех ЦФА сверх 1 млн 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Запрет на двойной залог:</w:t>
      </w:r>
      <w:r>
        <w:t xml:space="preserve"> </w:t>
      </w:r>
      <w:r>
        <w:t xml:space="preserve">один актив не может быть одновременно в залоге у ЦП РСФСР и иной организации.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Запрет на оборот ЦФА</w:t>
      </w:r>
      <w:r>
        <w:t xml:space="preserve"> </w:t>
      </w:r>
      <w:r>
        <w:t xml:space="preserve">Банком России (по концепции автора, п. 10 пошагового процесса).</w:t>
      </w:r>
    </w:p>
    <w:bookmarkEnd w:id="21"/>
    <w:bookmarkStart w:id="22" w:name="состояния-цфа"/>
    <w:p>
      <w:pPr>
        <w:pStyle w:val="Heading2"/>
      </w:pPr>
      <w:r>
        <w:t xml:space="preserve">4. Состояния ЦФА</w:t>
      </w:r>
    </w:p>
    <w:p>
      <w:pPr>
        <w:pStyle w:val="SourceCode"/>
      </w:pPr>
      <w:r>
        <w:rPr>
          <w:rStyle w:val="VerbatimChar"/>
        </w:rPr>
        <w:t xml:space="preserve">DRAFT → PENDING_VALUATION → VALUED → CONTRACT_SIGNED →</w:t>
      </w:r>
      <w:r>
        <w:br/>
      </w:r>
      <w:r>
        <w:rPr>
          <w:rStyle w:val="VerbatimChar"/>
        </w:rPr>
        <w:t xml:space="preserve">ISSUED → TRANSFERRED_TO_CB → ACTIVE →</w:t>
      </w:r>
      <w:r>
        <w:br/>
      </w:r>
      <w:r>
        <w:rPr>
          <w:rStyle w:val="VerbatimChar"/>
        </w:rPr>
        <w:t xml:space="preserve">[REINVESTED | RETURNED | INSURED_CASE | MENA_DONE]</w:t>
      </w:r>
    </w:p>
    <w:p>
      <w:pPr>
        <w:pStyle w:val="FirstParagraph"/>
      </w:pPr>
      <w:r>
        <w:t xml:space="preserve">Каждый переход — событие в DLT-реестре, неизменяемое.</w:t>
      </w:r>
    </w:p>
    <w:bookmarkEnd w:id="22"/>
    <w:bookmarkStart w:id="23" w:name="связь-с-прочей-документацией"/>
    <w:p>
      <w:pPr>
        <w:pStyle w:val="Heading2"/>
      </w:pPr>
      <w:r>
        <w:t xml:space="preserve">5. Связь с прочей документацией</w:t>
      </w:r>
    </w:p>
    <w:p>
      <w:pPr>
        <w:pStyle w:val="Compact"/>
        <w:numPr>
          <w:ilvl w:val="0"/>
          <w:numId w:val="1002"/>
        </w:numPr>
      </w:pPr>
      <w:r>
        <w:t xml:space="preserve">Логическая архитектура —</w:t>
      </w:r>
      <w:r>
        <w:t xml:space="preserve"> </w:t>
      </w:r>
      <w:r>
        <w:rPr>
          <w:rStyle w:val="VerbatimChar"/>
        </w:rPr>
        <w:t xml:space="preserve">01_Концепция_архитектуры.md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Нефункциональные требования —</w:t>
      </w:r>
      <w:r>
        <w:t xml:space="preserve"> </w:t>
      </w:r>
      <w:r>
        <w:rPr>
          <w:rStyle w:val="VerbatimChar"/>
        </w:rPr>
        <w:t xml:space="preserve">03_Нефункциональные_требования.md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Интеграции с ГИС —</w:t>
      </w:r>
      <w:r>
        <w:t xml:space="preserve"> </w:t>
      </w:r>
      <w:r>
        <w:rPr>
          <w:rStyle w:val="VerbatimChar"/>
        </w:rPr>
        <w:t xml:space="preserve">04_Интеграции_с_ГИС.md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Структура DLT-реестра —</w:t>
      </w:r>
      <w:r>
        <w:t xml:space="preserve"> </w:t>
      </w:r>
      <w:r>
        <w:rPr>
          <w:rStyle w:val="VerbatimChar"/>
        </w:rPr>
        <w:t xml:space="preserve">06_DLT_реестр_ЦФА.md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2026-05-23T20:40:12Z</dcterms:created>
  <dcterms:modified xsi:type="dcterms:W3CDTF">2026-05-23T20:40:12Z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