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нефункциональные-требования-nfr-цп-рсфср"/>
    <w:p>
      <w:pPr>
        <w:pStyle w:val="Heading1"/>
      </w:pPr>
      <w:r>
        <w:t xml:space="preserve">Нефункциональные требования (NFR) ЦП РСФСР</w:t>
      </w:r>
    </w:p>
    <w:p>
      <w:pPr>
        <w:pStyle w:val="FirstParagraph"/>
      </w:pPr>
      <w:r>
        <w:t xml:space="preserve">Документ детализирует требования к производительности, надёжности, информационной безопасности, наблюдаемости и эксплуатации платформы.</w:t>
      </w:r>
    </w:p>
    <w:p>
      <w:r>
        <w:pict>
          <v:rect style="width:0;height:1.5pt" o:hralign="center" o:hrstd="t" o:hr="t"/>
        </w:pict>
      </w:r>
    </w:p>
    <w:bookmarkStart w:id="9" w:name="производительность"/>
    <w:p>
      <w:pPr>
        <w:pStyle w:val="Heading2"/>
      </w:pPr>
      <w:r>
        <w:t xml:space="preserve">1. Производительность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Целевое значение</w:t>
            </w:r>
          </w:p>
        </w:tc>
        <w:tc>
          <w:tcPr/>
          <w:p>
            <w:pPr>
              <w:pStyle w:val="Compact"/>
            </w:pPr>
            <w:r>
              <w:t xml:space="preserve">Метод измерения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Пиковая нагрузка ввода</w:t>
            </w:r>
          </w:p>
        </w:tc>
        <w:tc>
          <w:tcPr/>
          <w:p>
            <w:pPr>
              <w:pStyle w:val="Compact"/>
            </w:pPr>
            <w:r>
              <w:t xml:space="preserve">5 000 RPS на API-шлюзе</w:t>
            </w:r>
          </w:p>
        </w:tc>
        <w:tc>
          <w:tcPr/>
          <w:p>
            <w:pPr>
              <w:pStyle w:val="Compact"/>
            </w:pPr>
            <w:r>
              <w:t xml:space="preserve">Нагрузочное тестирование (JMeter / Yandex Tank)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Среднее время отклика бизнес-API</w:t>
            </w:r>
          </w:p>
        </w:tc>
        <w:tc>
          <w:tcPr/>
          <w:p>
            <w:pPr>
              <w:pStyle w:val="Compact"/>
            </w:pPr>
            <w:r>
              <w:t xml:space="preserve">≤ 200 мс (P95)</w:t>
            </w:r>
          </w:p>
        </w:tc>
        <w:tc>
          <w:tcPr/>
          <w:p>
            <w:pPr>
              <w:pStyle w:val="Compact"/>
            </w:pPr>
            <w:r>
              <w:t xml:space="preserve">Prometheus / OpenTelemetry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отклика «тяжёлых» операций (выпуск ЦФА)</w:t>
            </w:r>
          </w:p>
        </w:tc>
        <w:tc>
          <w:tcPr/>
          <w:p>
            <w:pPr>
              <w:pStyle w:val="Compact"/>
            </w:pPr>
            <w:r>
              <w:t xml:space="preserve">≤ 30 сек E2E</w:t>
            </w:r>
          </w:p>
        </w:tc>
        <w:tc>
          <w:tcPr/>
          <w:p>
            <w:pPr>
              <w:pStyle w:val="Compact"/>
            </w:pPr>
            <w:r>
              <w:t xml:space="preserve">Synthetic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первого экрана мобильного приложения</w:t>
            </w:r>
          </w:p>
        </w:tc>
        <w:tc>
          <w:tcPr/>
          <w:p>
            <w:pPr>
              <w:pStyle w:val="Compact"/>
            </w:pPr>
            <w:r>
              <w:t xml:space="preserve">≤ 1,5 сек на 4G</w:t>
            </w:r>
          </w:p>
        </w:tc>
        <w:tc>
          <w:tcPr/>
          <w:p>
            <w:pPr>
              <w:pStyle w:val="Compact"/>
            </w:pPr>
            <w:r>
              <w:t xml:space="preserve">Real User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TPS DLT-реестра</w:t>
            </w:r>
          </w:p>
        </w:tc>
        <w:tc>
          <w:tcPr/>
          <w:p>
            <w:pPr>
              <w:pStyle w:val="Compact"/>
            </w:pPr>
            <w:r>
              <w:t xml:space="preserve">≥ 200 транзакций/сек</w:t>
            </w:r>
          </w:p>
        </w:tc>
        <w:tc>
          <w:tcPr/>
          <w:p>
            <w:pPr>
              <w:pStyle w:val="Compact"/>
            </w:pPr>
            <w:r>
              <w:t xml:space="preserve">Профилирование DLT-узла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≥ 50 000 одновременно</w:t>
            </w:r>
          </w:p>
        </w:tc>
        <w:tc>
          <w:tcPr/>
          <w:p>
            <w:pPr>
              <w:pStyle w:val="Compact"/>
            </w:pPr>
            <w:r>
              <w:t xml:space="preserve">Stress-тестирование</w:t>
            </w:r>
          </w:p>
        </w:tc>
      </w:tr>
    </w:tbl>
    <w:bookmarkEnd w:id="9"/>
    <w:bookmarkStart w:id="10" w:name="надёжность-и-доступность"/>
    <w:p>
      <w:pPr>
        <w:pStyle w:val="Heading2"/>
      </w:pPr>
      <w:r>
        <w:t xml:space="preserve">2. Надёжность и доступность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Целевое 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годовой</w:t>
            </w:r>
          </w:p>
        </w:tc>
        <w:tc>
          <w:tcPr/>
          <w:p>
            <w:pPr>
              <w:pStyle w:val="Compact"/>
            </w:pPr>
            <w:r>
              <w:t xml:space="preserve">99,99% (≤ 52 мин downtime/год)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MTTR (среднее время восстановления)</w:t>
            </w:r>
          </w:p>
        </w:tc>
        <w:tc>
          <w:tcPr/>
          <w:p>
            <w:pPr>
              <w:pStyle w:val="Compact"/>
            </w:pPr>
            <w:r>
              <w:t xml:space="preserve">≤ 15 мин для критичных контуров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MTBF (среднее время между отказами)</w:t>
            </w:r>
          </w:p>
        </w:tc>
        <w:tc>
          <w:tcPr/>
          <w:p>
            <w:pPr>
              <w:pStyle w:val="Compact"/>
            </w:pPr>
            <w:r>
              <w:t xml:space="preserve">≥ 8 760 ч для критичных компонентов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(точка восстановления)</w:t>
            </w:r>
          </w:p>
        </w:tc>
        <w:tc>
          <w:tcPr/>
          <w:p>
            <w:pPr>
              <w:pStyle w:val="Compact"/>
            </w:pPr>
            <w:r>
              <w:t xml:space="preserve">0 для DLT-реестра и ЦФА-данных; ≤ 5 мин для прочих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 (время восстановления)</w:t>
            </w:r>
          </w:p>
        </w:tc>
        <w:tc>
          <w:tcPr/>
          <w:p>
            <w:pPr>
              <w:pStyle w:val="Compact"/>
            </w:pPr>
            <w:r>
              <w:t xml:space="preserve">≤ 5 мин для критичных, ≤ 30 мин для прочих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Геораспределение</w:t>
            </w:r>
          </w:p>
        </w:tc>
        <w:tc>
          <w:tcPr/>
          <w:p>
            <w:pPr>
              <w:pStyle w:val="Compact"/>
            </w:pPr>
            <w:r>
              <w:t xml:space="preserve">3 active-active ЦОД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Резервирование БД</w:t>
            </w:r>
          </w:p>
        </w:tc>
        <w:tc>
          <w:tcPr/>
          <w:p>
            <w:pPr>
              <w:pStyle w:val="Compact"/>
            </w:pPr>
            <w:r>
              <w:t xml:space="preserve">Синхронная репликация ≥ N+2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Ежечасные incremental + ежесуточные full, хранение 7 лет</w:t>
            </w:r>
          </w:p>
        </w:tc>
      </w:tr>
    </w:tbl>
    <w:bookmarkEnd w:id="10"/>
    <w:bookmarkStart w:id="11" w:name="масштабируемость"/>
    <w:p>
      <w:pPr>
        <w:pStyle w:val="Heading2"/>
      </w:pPr>
      <w:r>
        <w:t xml:space="preserve">3. Масштабируемость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Горизонтальное масштабирование</w:t>
      </w:r>
      <w:r>
        <w:t xml:space="preserve"> </w:t>
      </w:r>
      <w:r>
        <w:t xml:space="preserve">всех stateless-сервисов через Kubernetes HPA.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Вертикальное масштабирование</w:t>
      </w:r>
      <w:r>
        <w:t xml:space="preserve"> </w:t>
      </w:r>
      <w:r>
        <w:t xml:space="preserve">stateful-компонентов (БД) — до 1 ПБ хранилища на кластер.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Sharding</w:t>
      </w:r>
      <w:r>
        <w:t xml:space="preserve"> </w:t>
      </w:r>
      <w:r>
        <w:t xml:space="preserve">ЦФА-реестра по идентификатору залогодателя для крупного объёма.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Партнёрская модель распределения</w:t>
      </w:r>
      <w:r>
        <w:t xml:space="preserve"> </w:t>
      </w:r>
      <w:r>
        <w:t xml:space="preserve">для нагрузки оценочных и страховых модулей.</w:t>
      </w:r>
    </w:p>
    <w:bookmarkEnd w:id="11"/>
    <w:bookmarkStart w:id="16" w:name="информационная-безопасность"/>
    <w:p>
      <w:pPr>
        <w:pStyle w:val="Heading2"/>
      </w:pPr>
      <w:r>
        <w:t xml:space="preserve">4. Информационная безопасность</w:t>
      </w:r>
    </w:p>
    <w:bookmarkStart w:id="12" w:name="уровень-защиты"/>
    <w:p>
      <w:pPr>
        <w:pStyle w:val="Heading3"/>
      </w:pPr>
      <w:r>
        <w:t xml:space="preserve">4.1. Уровень защиты</w:t>
      </w:r>
    </w:p>
    <w:p>
      <w:pPr>
        <w:pStyle w:val="FirstParagraph"/>
      </w:pPr>
      <w:r>
        <w:t xml:space="preserve">Платформа соответствует</w:t>
      </w:r>
      <w:r>
        <w:t xml:space="preserve"> </w:t>
      </w:r>
      <w:r>
        <w:rPr>
          <w:b/>
          <w:bCs/>
        </w:rPr>
        <w:t xml:space="preserve">4-му (максимальному) уровню защиты по ГОСТ Р 57580.1</w:t>
      </w:r>
      <w:r>
        <w:t xml:space="preserve"> </w:t>
      </w:r>
      <w:r>
        <w:t xml:space="preserve">и реализует все 8 направлений защиты:</w:t>
      </w:r>
      <w:r>
        <w:t xml:space="preserve"> </w:t>
      </w:r>
      <w:r>
        <w:t xml:space="preserve">- ОЗД — обеспечение защиты данных;</w:t>
      </w:r>
      <w:r>
        <w:t xml:space="preserve"> </w:t>
      </w:r>
      <w:r>
        <w:t xml:space="preserve">- ОПИ — обеспечение защиты периметра ИС;</w:t>
      </w:r>
      <w:r>
        <w:t xml:space="preserve"> </w:t>
      </w:r>
      <w:r>
        <w:t xml:space="preserve">- РСИ — разграничение и контроль доступа;</w:t>
      </w:r>
      <w:r>
        <w:t xml:space="preserve"> </w:t>
      </w:r>
      <w:r>
        <w:t xml:space="preserve">- МАУ — мониторинг, аудит, реагирование;</w:t>
      </w:r>
      <w:r>
        <w:t xml:space="preserve"> </w:t>
      </w:r>
      <w:r>
        <w:t xml:space="preserve">- ОПТ — обеспечение продолжительной защиты;</w:t>
      </w:r>
      <w:r>
        <w:t xml:space="preserve"> </w:t>
      </w:r>
      <w:r>
        <w:t xml:space="preserve">- УПИ — управление инцидентами;</w:t>
      </w:r>
      <w:r>
        <w:t xml:space="preserve"> </w:t>
      </w:r>
      <w:r>
        <w:t xml:space="preserve">- ОЗУ — обеспечение защиты учётных данных;</w:t>
      </w:r>
      <w:r>
        <w:t xml:space="preserve"> </w:t>
      </w:r>
      <w:r>
        <w:t xml:space="preserve">- РЦК — реагирование на компьютерные атаки.</w:t>
      </w:r>
    </w:p>
    <w:bookmarkEnd w:id="12"/>
    <w:bookmarkStart w:id="13" w:name="криптография"/>
    <w:p>
      <w:pPr>
        <w:pStyle w:val="Heading3"/>
      </w:pPr>
      <w:r>
        <w:t xml:space="preserve">4.2. Криптография</w:t>
      </w:r>
    </w:p>
    <w:p>
      <w:pPr>
        <w:pStyle w:val="Compact"/>
        <w:numPr>
          <w:ilvl w:val="0"/>
          <w:numId w:val="1002"/>
        </w:numPr>
      </w:pPr>
      <w:r>
        <w:t xml:space="preserve">Только сертифицированные средства: КриптоПро CSP 5.0, ВипНет CSP, КриптоПро HSM.</w:t>
      </w:r>
    </w:p>
    <w:p>
      <w:pPr>
        <w:pStyle w:val="Compact"/>
        <w:numPr>
          <w:ilvl w:val="0"/>
          <w:numId w:val="1002"/>
        </w:numPr>
      </w:pPr>
      <w:r>
        <w:t xml:space="preserve">Алгоритмы: ГОСТ Р 34.10-2012 (ЭП), ГОСТ Р 34.11-2012 (хеш), ГОСТ Р 34.12-2015 / 34.13-2015 (шифрование).</w:t>
      </w:r>
    </w:p>
    <w:p>
      <w:pPr>
        <w:pStyle w:val="Compact"/>
        <w:numPr>
          <w:ilvl w:val="0"/>
          <w:numId w:val="1002"/>
        </w:numPr>
      </w:pPr>
      <w:r>
        <w:t xml:space="preserve">TLS-каналы — с использованием ГОСТ-сертификатов (КриптоПро TLS).</w:t>
      </w:r>
    </w:p>
    <w:bookmarkEnd w:id="13"/>
    <w:bookmarkStart w:id="14" w:name="защита-персональных-данных"/>
    <w:p>
      <w:pPr>
        <w:pStyle w:val="Heading3"/>
      </w:pPr>
      <w:r>
        <w:t xml:space="preserve">4.3. Защита персональных данных</w:t>
      </w:r>
    </w:p>
    <w:p>
      <w:pPr>
        <w:pStyle w:val="Compact"/>
        <w:numPr>
          <w:ilvl w:val="0"/>
          <w:numId w:val="1003"/>
        </w:numPr>
      </w:pPr>
      <w:r>
        <w:t xml:space="preserve">Соответствие 152-ФЗ и приказу ФСТЭК №21.</w:t>
      </w:r>
    </w:p>
    <w:p>
      <w:pPr>
        <w:pStyle w:val="Compact"/>
        <w:numPr>
          <w:ilvl w:val="0"/>
          <w:numId w:val="1003"/>
        </w:numPr>
      </w:pPr>
      <w:r>
        <w:t xml:space="preserve">Уровень защищённости ИСПДн —</w:t>
      </w:r>
      <w:r>
        <w:t xml:space="preserve"> </w:t>
      </w:r>
      <w:r>
        <w:rPr>
          <w:b/>
          <w:bCs/>
        </w:rPr>
        <w:t xml:space="preserve">УЗ-1</w:t>
      </w:r>
      <w:r>
        <w:t xml:space="preserve"> </w:t>
      </w:r>
      <w:r>
        <w:t xml:space="preserve">(по ПП РФ №1119).</w:t>
      </w:r>
    </w:p>
    <w:p>
      <w:pPr>
        <w:pStyle w:val="Compact"/>
        <w:numPr>
          <w:ilvl w:val="0"/>
          <w:numId w:val="1003"/>
        </w:numPr>
      </w:pPr>
      <w:r>
        <w:t xml:space="preserve">Регистрация в реестре операторов ПДн Роскомнадзора.</w:t>
      </w:r>
    </w:p>
    <w:p>
      <w:pPr>
        <w:pStyle w:val="Compact"/>
        <w:numPr>
          <w:ilvl w:val="0"/>
          <w:numId w:val="1003"/>
        </w:numPr>
      </w:pPr>
      <w:r>
        <w:t xml:space="preserve">Все операции с ПДн журналируются в неизменяемом audit log.</w:t>
      </w:r>
    </w:p>
    <w:bookmarkEnd w:id="14"/>
    <w:bookmarkStart w:id="15" w:name="защита-кии"/>
    <w:p>
      <w:pPr>
        <w:pStyle w:val="Heading3"/>
      </w:pPr>
      <w:r>
        <w:t xml:space="preserve">4.4. Защита КИИ</w:t>
      </w:r>
    </w:p>
    <w:p>
      <w:pPr>
        <w:pStyle w:val="Compact"/>
        <w:numPr>
          <w:ilvl w:val="0"/>
          <w:numId w:val="1004"/>
        </w:numPr>
      </w:pPr>
      <w:r>
        <w:t xml:space="preserve">Категория значимости —</w:t>
      </w:r>
      <w:r>
        <w:t xml:space="preserve"> </w:t>
      </w:r>
      <w:r>
        <w:rPr>
          <w:b/>
          <w:bCs/>
        </w:rPr>
        <w:t xml:space="preserve">1-я (наивысшая)</w:t>
      </w:r>
      <w:r>
        <w:t xml:space="preserve"> </w:t>
      </w:r>
      <w:r>
        <w:t xml:space="preserve">(ФЗ-187).</w:t>
      </w:r>
    </w:p>
    <w:p>
      <w:pPr>
        <w:pStyle w:val="Compact"/>
        <w:numPr>
          <w:ilvl w:val="0"/>
          <w:numId w:val="1004"/>
        </w:numPr>
      </w:pPr>
      <w:r>
        <w:t xml:space="preserve">Подключение к ГосСОПКА.</w:t>
      </w:r>
    </w:p>
    <w:p>
      <w:pPr>
        <w:pStyle w:val="Compact"/>
        <w:numPr>
          <w:ilvl w:val="0"/>
          <w:numId w:val="1004"/>
        </w:numPr>
      </w:pPr>
      <w:r>
        <w:t xml:space="preserve">Соответствие приказу ФСТЭК №239.</w:t>
      </w:r>
    </w:p>
    <w:p>
      <w:pPr>
        <w:pStyle w:val="Compact"/>
        <w:numPr>
          <w:ilvl w:val="0"/>
          <w:numId w:val="1004"/>
        </w:numPr>
      </w:pPr>
      <w:r>
        <w:t xml:space="preserve">Постоянное взаимодействие с НКЦКИ.</w:t>
      </w:r>
    </w:p>
    <w:bookmarkEnd w:id="15"/>
    <w:bookmarkEnd w:id="16"/>
    <w:bookmarkStart w:id="21" w:name="наблюдаемость-observability"/>
    <w:p>
      <w:pPr>
        <w:pStyle w:val="Heading2"/>
      </w:pPr>
      <w:r>
        <w:t xml:space="preserve">5. Наблюдаемость (Observability)</w:t>
      </w:r>
    </w:p>
    <w:bookmarkStart w:id="17" w:name="метрики"/>
    <w:p>
      <w:pPr>
        <w:pStyle w:val="Heading3"/>
      </w:pPr>
      <w:r>
        <w:t xml:space="preserve">5.1. Метрики</w:t>
      </w:r>
    </w:p>
    <w:p>
      <w:pPr>
        <w:pStyle w:val="Compact"/>
        <w:numPr>
          <w:ilvl w:val="0"/>
          <w:numId w:val="1005"/>
        </w:numPr>
      </w:pPr>
      <w:r>
        <w:t xml:space="preserve">Бизнес-метрики: количество выпущенных ЦФА, объём эмиссии, время выпуска, конверсия.</w:t>
      </w:r>
    </w:p>
    <w:p>
      <w:pPr>
        <w:pStyle w:val="Compact"/>
        <w:numPr>
          <w:ilvl w:val="0"/>
          <w:numId w:val="1005"/>
        </w:numPr>
      </w:pPr>
      <w:r>
        <w:t xml:space="preserve">Технические метрики: RPS, latency, error rate, насыщенность ресурсов.</w:t>
      </w:r>
    </w:p>
    <w:p>
      <w:pPr>
        <w:pStyle w:val="Compact"/>
        <w:numPr>
          <w:ilvl w:val="0"/>
          <w:numId w:val="1005"/>
        </w:numPr>
      </w:pPr>
      <w:r>
        <w:t xml:space="preserve">Метрики ИБ: количество инцидентов, заблокированные запросы, неудачные авторизации.</w:t>
      </w:r>
    </w:p>
    <w:p>
      <w:pPr>
        <w:pStyle w:val="Compact"/>
        <w:numPr>
          <w:ilvl w:val="0"/>
          <w:numId w:val="1005"/>
        </w:numPr>
      </w:pPr>
      <w:r>
        <w:t xml:space="preserve">Хранение метрик — 13 месяцев в VictoriaMetrics с агрегацией по периодам.</w:t>
      </w:r>
    </w:p>
    <w:bookmarkEnd w:id="17"/>
    <w:bookmarkStart w:id="18" w:name="логи"/>
    <w:p>
      <w:pPr>
        <w:pStyle w:val="Heading3"/>
      </w:pPr>
      <w:r>
        <w:t xml:space="preserve">5.2. Логи</w:t>
      </w:r>
    </w:p>
    <w:p>
      <w:pPr>
        <w:pStyle w:val="Compact"/>
        <w:numPr>
          <w:ilvl w:val="0"/>
          <w:numId w:val="1006"/>
        </w:numPr>
      </w:pPr>
      <w:r>
        <w:t xml:space="preserve">Структурированные JSON-логи всех сервисов.</w:t>
      </w:r>
    </w:p>
    <w:p>
      <w:pPr>
        <w:pStyle w:val="Compact"/>
        <w:numPr>
          <w:ilvl w:val="0"/>
          <w:numId w:val="1006"/>
        </w:numPr>
      </w:pPr>
      <w:r>
        <w:t xml:space="preserve">Централизованный сбор в Loki / отечественный аналог.</w:t>
      </w:r>
    </w:p>
    <w:p>
      <w:pPr>
        <w:pStyle w:val="Compact"/>
        <w:numPr>
          <w:ilvl w:val="0"/>
          <w:numId w:val="1006"/>
        </w:numPr>
      </w:pPr>
      <w:r>
        <w:t xml:space="preserve">Корреляция через trace_id.</w:t>
      </w:r>
    </w:p>
    <w:p>
      <w:pPr>
        <w:pStyle w:val="Compact"/>
        <w:numPr>
          <w:ilvl w:val="0"/>
          <w:numId w:val="1006"/>
        </w:numPr>
      </w:pPr>
      <w:r>
        <w:t xml:space="preserve">Хранение операционных логов — 13 месяцев.</w:t>
      </w:r>
    </w:p>
    <w:p>
      <w:pPr>
        <w:pStyle w:val="Compact"/>
        <w:numPr>
          <w:ilvl w:val="0"/>
          <w:numId w:val="1006"/>
        </w:numPr>
      </w:pPr>
      <w:r>
        <w:t xml:space="preserve">Хранение audit-логов — 10 лет (соответствует требованиям 152-ФЗ и НК РФ).</w:t>
      </w:r>
    </w:p>
    <w:bookmarkEnd w:id="18"/>
    <w:bookmarkStart w:id="19" w:name="трассировка"/>
    <w:p>
      <w:pPr>
        <w:pStyle w:val="Heading3"/>
      </w:pPr>
      <w:r>
        <w:t xml:space="preserve">5.3. Трассировка</w:t>
      </w:r>
    </w:p>
    <w:p>
      <w:pPr>
        <w:pStyle w:val="Compact"/>
        <w:numPr>
          <w:ilvl w:val="0"/>
          <w:numId w:val="1007"/>
        </w:numPr>
      </w:pPr>
      <w:r>
        <w:t xml:space="preserve">OpenTelemetry-стек по всем сервисам.</w:t>
      </w:r>
    </w:p>
    <w:p>
      <w:pPr>
        <w:pStyle w:val="Compact"/>
        <w:numPr>
          <w:ilvl w:val="0"/>
          <w:numId w:val="1007"/>
        </w:numPr>
      </w:pPr>
      <w:r>
        <w:t xml:space="preserve">Сэмплинг 10% для штатных запросов, 100% для критичных контуров (выпуск, мена ЦФА).</w:t>
      </w:r>
    </w:p>
    <w:p>
      <w:pPr>
        <w:pStyle w:val="Compact"/>
        <w:numPr>
          <w:ilvl w:val="0"/>
          <w:numId w:val="1007"/>
        </w:numPr>
      </w:pPr>
      <w:r>
        <w:t xml:space="preserve">Хранение трасс — 30 дней (HOT), 180 дней (COLD).</w:t>
      </w:r>
    </w:p>
    <w:bookmarkEnd w:id="19"/>
    <w:bookmarkStart w:id="20" w:name="алертинг"/>
    <w:p>
      <w:pPr>
        <w:pStyle w:val="Heading3"/>
      </w:pPr>
      <w:r>
        <w:t xml:space="preserve">5.4. Алертинг</w:t>
      </w:r>
    </w:p>
    <w:p>
      <w:pPr>
        <w:pStyle w:val="Compact"/>
        <w:numPr>
          <w:ilvl w:val="0"/>
          <w:numId w:val="1008"/>
        </w:numPr>
      </w:pPr>
      <w:r>
        <w:t xml:space="preserve">Двухуровневая система: автоматические алерты + дежурная смена SOC.</w:t>
      </w:r>
    </w:p>
    <w:p>
      <w:pPr>
        <w:pStyle w:val="Compact"/>
        <w:numPr>
          <w:ilvl w:val="0"/>
          <w:numId w:val="1008"/>
        </w:numPr>
      </w:pPr>
      <w:r>
        <w:t xml:space="preserve">Эскалация: L1 (1 мин) → L2 (5 мин) → L3 (15 мин) → руководство ОО (30 мин).</w:t>
      </w:r>
    </w:p>
    <w:bookmarkEnd w:id="20"/>
    <w:bookmarkEnd w:id="21"/>
    <w:bookmarkStart w:id="25" w:name="эксплуатация"/>
    <w:p>
      <w:pPr>
        <w:pStyle w:val="Heading2"/>
      </w:pPr>
      <w:r>
        <w:t xml:space="preserve">6. Эксплуатация</w:t>
      </w:r>
    </w:p>
    <w:bookmarkStart w:id="22" w:name="cicd"/>
    <w:p>
      <w:pPr>
        <w:pStyle w:val="Heading3"/>
      </w:pPr>
      <w:r>
        <w:t xml:space="preserve">6.1. CI/CD</w:t>
      </w:r>
    </w:p>
    <w:p>
      <w:pPr>
        <w:pStyle w:val="Compact"/>
        <w:numPr>
          <w:ilvl w:val="0"/>
          <w:numId w:val="1009"/>
        </w:numPr>
      </w:pPr>
      <w:r>
        <w:t xml:space="preserve">Git-репозиторий — отечественный GitFlic / GitVerse / собственный GitLab on-prem.</w:t>
      </w:r>
    </w:p>
    <w:p>
      <w:pPr>
        <w:pStyle w:val="Compact"/>
        <w:numPr>
          <w:ilvl w:val="0"/>
          <w:numId w:val="1009"/>
        </w:numPr>
      </w:pPr>
      <w:r>
        <w:t xml:space="preserve">CI: pipelines с обязательными шагами:</w:t>
      </w:r>
    </w:p>
    <w:p>
      <w:pPr>
        <w:pStyle w:val="Compact"/>
        <w:numPr>
          <w:ilvl w:val="1"/>
          <w:numId w:val="1010"/>
        </w:numPr>
      </w:pPr>
      <w:r>
        <w:t xml:space="preserve">Static code analysis (PT Application Inspector, PVS-Studio).</w:t>
      </w:r>
    </w:p>
    <w:p>
      <w:pPr>
        <w:pStyle w:val="Compact"/>
        <w:numPr>
          <w:ilvl w:val="1"/>
          <w:numId w:val="1010"/>
        </w:numPr>
      </w:pPr>
      <w:r>
        <w:t xml:space="preserve">SAST / DAST (PT AppSec).</w:t>
      </w:r>
    </w:p>
    <w:p>
      <w:pPr>
        <w:pStyle w:val="Compact"/>
        <w:numPr>
          <w:ilvl w:val="1"/>
          <w:numId w:val="1010"/>
        </w:numPr>
      </w:pPr>
      <w:r>
        <w:t xml:space="preserve">Composition analysis (выявление уязвимых библиотек).</w:t>
      </w:r>
    </w:p>
    <w:p>
      <w:pPr>
        <w:pStyle w:val="Compact"/>
        <w:numPr>
          <w:ilvl w:val="1"/>
          <w:numId w:val="1010"/>
        </w:numPr>
      </w:pPr>
      <w:r>
        <w:t xml:space="preserve">Unit-тесты (покрытие ≥ 80%).</w:t>
      </w:r>
    </w:p>
    <w:p>
      <w:pPr>
        <w:pStyle w:val="Compact"/>
        <w:numPr>
          <w:ilvl w:val="1"/>
          <w:numId w:val="1010"/>
        </w:numPr>
      </w:pPr>
      <w:r>
        <w:t xml:space="preserve">Integration-тесты.</w:t>
      </w:r>
    </w:p>
    <w:p>
      <w:pPr>
        <w:pStyle w:val="Compact"/>
        <w:numPr>
          <w:ilvl w:val="1"/>
          <w:numId w:val="1010"/>
        </w:numPr>
      </w:pPr>
      <w:r>
        <w:t xml:space="preserve">Performance smoke-тесты.</w:t>
      </w:r>
    </w:p>
    <w:p>
      <w:pPr>
        <w:pStyle w:val="Compact"/>
        <w:numPr>
          <w:ilvl w:val="1"/>
          <w:numId w:val="1010"/>
        </w:numPr>
      </w:pPr>
      <w:r>
        <w:t xml:space="preserve">Подпись релизной сборки УКЭП.</w:t>
      </w:r>
    </w:p>
    <w:p>
      <w:pPr>
        <w:pStyle w:val="Compact"/>
        <w:numPr>
          <w:ilvl w:val="0"/>
          <w:numId w:val="1009"/>
        </w:numPr>
      </w:pPr>
      <w:r>
        <w:t xml:space="preserve">CD: GitOps (Argo CD / отечественный аналог), полная автоматизация деплоев, с механизмом канареечного развёртывания.</w:t>
      </w:r>
    </w:p>
    <w:bookmarkEnd w:id="22"/>
    <w:bookmarkStart w:id="23" w:name="управление-конфигурацией"/>
    <w:p>
      <w:pPr>
        <w:pStyle w:val="Heading3"/>
      </w:pPr>
      <w:r>
        <w:t xml:space="preserve">6.2. Управление конфигурацией</w:t>
      </w:r>
    </w:p>
    <w:p>
      <w:pPr>
        <w:pStyle w:val="Compact"/>
        <w:numPr>
          <w:ilvl w:val="0"/>
          <w:numId w:val="1011"/>
        </w:numPr>
      </w:pPr>
      <w:r>
        <w:t xml:space="preserve">Все конфигурации — в Git (Infrastructure as Code, Configuration as Code).</w:t>
      </w:r>
    </w:p>
    <w:p>
      <w:pPr>
        <w:pStyle w:val="Compact"/>
        <w:numPr>
          <w:ilvl w:val="0"/>
          <w:numId w:val="1011"/>
        </w:numPr>
      </w:pPr>
      <w:r>
        <w:t xml:space="preserve">Секреты — через HashiCorp Vault (или отечественный аналог) с шифрованием на HSM.</w:t>
      </w:r>
    </w:p>
    <w:bookmarkEnd w:id="23"/>
    <w:bookmarkStart w:id="24" w:name="backup-и-dr"/>
    <w:p>
      <w:pPr>
        <w:pStyle w:val="Heading3"/>
      </w:pPr>
      <w:r>
        <w:t xml:space="preserve">6.3. Backup и DR</w:t>
      </w:r>
    </w:p>
    <w:p>
      <w:pPr>
        <w:pStyle w:val="Compact"/>
        <w:numPr>
          <w:ilvl w:val="0"/>
          <w:numId w:val="1012"/>
        </w:numPr>
      </w:pPr>
      <w:r>
        <w:t xml:space="preserve">Полное тестирование DR-сценариев — ежеквартально.</w:t>
      </w:r>
    </w:p>
    <w:p>
      <w:pPr>
        <w:pStyle w:val="Compact"/>
        <w:numPr>
          <w:ilvl w:val="0"/>
          <w:numId w:val="1012"/>
        </w:numPr>
      </w:pPr>
      <w:r>
        <w:t xml:space="preserve">Recovery drill — раз в полугодие с участием SOC.</w:t>
      </w:r>
    </w:p>
    <w:bookmarkEnd w:id="24"/>
    <w:bookmarkEnd w:id="25"/>
    <w:bookmarkStart w:id="26" w:name="совместимость-и-стандартизация"/>
    <w:p>
      <w:pPr>
        <w:pStyle w:val="Heading2"/>
      </w:pPr>
      <w:r>
        <w:t xml:space="preserve">7. Совместимость и стандартизация</w:t>
      </w:r>
    </w:p>
    <w:p>
      <w:pPr>
        <w:pStyle w:val="Compact"/>
        <w:numPr>
          <w:ilvl w:val="0"/>
          <w:numId w:val="1013"/>
        </w:numPr>
      </w:pPr>
      <w:r>
        <w:t xml:space="preserve">API: REST (OpenAPI 3.1) для внешних интеграций; gRPC между внутренними сервисами.</w:t>
      </w:r>
    </w:p>
    <w:p>
      <w:pPr>
        <w:pStyle w:val="Compact"/>
        <w:numPr>
          <w:ilvl w:val="0"/>
          <w:numId w:val="1013"/>
        </w:numPr>
      </w:pPr>
      <w:r>
        <w:t xml:space="preserve">Документация API — автоматическая генерация в Swagger-стиле.</w:t>
      </w:r>
    </w:p>
    <w:p>
      <w:pPr>
        <w:pStyle w:val="Compact"/>
        <w:numPr>
          <w:ilvl w:val="0"/>
          <w:numId w:val="1013"/>
        </w:numPr>
      </w:pPr>
      <w:r>
        <w:t xml:space="preserve">Поддержка стандартов: OAuth 2.1, OpenID Connect, mTLS, JWT с RS256/GostR3410.</w:t>
      </w:r>
    </w:p>
    <w:p>
      <w:pPr>
        <w:pStyle w:val="Compact"/>
        <w:numPr>
          <w:ilvl w:val="0"/>
          <w:numId w:val="1013"/>
        </w:numPr>
      </w:pPr>
      <w:r>
        <w:t xml:space="preserve">Соответствие ISO/IEC 25010 (атрибуты качества ПО).</w:t>
      </w:r>
    </w:p>
    <w:bookmarkEnd w:id="26"/>
    <w:bookmarkStart w:id="27" w:name="требования-к-командам-и-эксплуатации"/>
    <w:p>
      <w:pPr>
        <w:pStyle w:val="Heading2"/>
      </w:pPr>
      <w:r>
        <w:t xml:space="preserve">8. Требования к командам и эксплуатации</w:t>
      </w:r>
    </w:p>
    <w:p>
      <w:pPr>
        <w:pStyle w:val="Compact"/>
        <w:numPr>
          <w:ilvl w:val="0"/>
          <w:numId w:val="1014"/>
        </w:numPr>
      </w:pPr>
      <w:r>
        <w:t xml:space="preserve">24×7 NOC (Network Operations Center).</w:t>
      </w:r>
    </w:p>
    <w:p>
      <w:pPr>
        <w:pStyle w:val="Compact"/>
        <w:numPr>
          <w:ilvl w:val="0"/>
          <w:numId w:val="1014"/>
        </w:numPr>
      </w:pPr>
      <w:r>
        <w:t xml:space="preserve">24×7 SOC (Security Operations Center) с интеграцией в ГосСОПКА.</w:t>
      </w:r>
    </w:p>
    <w:p>
      <w:pPr>
        <w:pStyle w:val="Compact"/>
        <w:numPr>
          <w:ilvl w:val="0"/>
          <w:numId w:val="1014"/>
        </w:numPr>
      </w:pPr>
      <w:r>
        <w:t xml:space="preserve">Дежурные смены: ≥ 6 человек на смену для критичных контуров.</w:t>
      </w:r>
    </w:p>
    <w:p>
      <w:pPr>
        <w:pStyle w:val="Compact"/>
        <w:numPr>
          <w:ilvl w:val="0"/>
          <w:numId w:val="1014"/>
        </w:numPr>
      </w:pPr>
      <w:r>
        <w:t xml:space="preserve">Регулярные практики Red Team / Blue Team — каждые 6 месяцев.</w:t>
      </w:r>
    </w:p>
    <w:p>
      <w:pPr>
        <w:pStyle w:val="Compact"/>
        <w:numPr>
          <w:ilvl w:val="0"/>
          <w:numId w:val="1014"/>
        </w:numPr>
      </w:pPr>
      <w:r>
        <w:t xml:space="preserve">Ежегодный внешний пентест аккредитованной лабораторией ФСТЭК.</w:t>
      </w:r>
    </w:p>
    <w:bookmarkEnd w:id="27"/>
    <w:bookmarkStart w:id="28" w:name="требования-к-импортонезависимости"/>
    <w:p>
      <w:pPr>
        <w:pStyle w:val="Heading2"/>
      </w:pPr>
      <w:r>
        <w:t xml:space="preserve">9. Требования к импортонезависимости</w:t>
      </w:r>
    </w:p>
    <w:p>
      <w:pPr>
        <w:pStyle w:val="FirstParagraph"/>
      </w:pPr>
      <w:r>
        <w:t xml:space="preserve">100% компонентов программно-аппаратной части должны:</w:t>
      </w:r>
      <w:r>
        <w:t xml:space="preserve"> </w:t>
      </w:r>
      <w:r>
        <w:t xml:space="preserve">- быть включены в Единый реестр российского ПО (ПП РФ №1236), либо</w:t>
      </w:r>
      <w:r>
        <w:t xml:space="preserve"> </w:t>
      </w:r>
      <w:r>
        <w:t xml:space="preserve">- быть сертифицированы ФСТЭК России / ФСБ России, либо</w:t>
      </w:r>
      <w:r>
        <w:t xml:space="preserve"> </w:t>
      </w:r>
      <w:r>
        <w:t xml:space="preserve">- быть собственной разработкой оператора с открытым исходным кодом и сборкой на территории РФ.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2026-05-23T20:40:12Z</dcterms:created>
  <dcterms:modified xsi:type="dcterms:W3CDTF">2026-05-23T20:40:12Z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