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c501bb0ad73ea11fb7f63460d711161c210e670"/>
    <w:p>
      <w:pPr>
        <w:pStyle w:val="Heading1"/>
      </w:pPr>
      <w:r>
        <w:t xml:space="preserve">Интеграции с государственными информационными системами</w:t>
      </w:r>
    </w:p>
    <w:p>
      <w:pPr>
        <w:pStyle w:val="FirstParagraph"/>
      </w:pPr>
      <w:r>
        <w:t xml:space="preserve">Документ описывает интеграции ЦП РСФСР с государственными системами Российской Федерации в соответствии с требованиями ФЗ-149, СМЭВ 3, ФЗ-152, ФЗ-187 и регламентами ведомств-владельцев.</w:t>
      </w:r>
    </w:p>
    <w:p>
      <w:r>
        <w:pict>
          <v:rect style="width:0;height:1.5pt" o:hralign="center" o:hrstd="t" o:hr="t"/>
        </w:pict>
      </w:r>
    </w:p>
    <w:bookmarkStart w:id="9" w:name="сводная-таблица-интеграций"/>
    <w:p>
      <w:pPr>
        <w:pStyle w:val="Heading2"/>
      </w:pPr>
      <w:r>
        <w:t xml:space="preserve">1. Сводная таблица интеграций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Контрагент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Протокол</w:t>
            </w:r>
          </w:p>
        </w:tc>
        <w:tc>
          <w:tcPr/>
          <w:p>
            <w:pPr>
              <w:pStyle w:val="Compact"/>
            </w:pPr>
            <w:r>
              <w:t xml:space="preserve">Частота</w:t>
            </w:r>
          </w:p>
        </w:tc>
        <w:tc>
          <w:tcPr/>
          <w:p>
            <w:pPr>
              <w:pStyle w:val="Compact"/>
            </w:pPr>
            <w:r>
              <w:t xml:space="preserve">Безопасность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INT-01</w:t>
            </w:r>
          </w:p>
        </w:tc>
        <w:tc>
          <w:tcPr/>
          <w:p>
            <w:pPr>
              <w:pStyle w:val="Compact"/>
            </w:pPr>
            <w:r>
              <w:t xml:space="preserve">Госуслуги (ЕСИА)</w:t>
            </w:r>
          </w:p>
        </w:tc>
        <w:tc>
          <w:tcPr/>
          <w:p>
            <w:pPr>
              <w:pStyle w:val="Compact"/>
            </w:pPr>
            <w:r>
              <w:t xml:space="preserve">Идентификация физических и юридических лиц</w:t>
            </w:r>
          </w:p>
        </w:tc>
        <w:tc>
          <w:tcPr/>
          <w:p>
            <w:pPr>
              <w:pStyle w:val="Compact"/>
            </w:pPr>
            <w:r>
              <w:t xml:space="preserve">СМЭВ 3 + REST</w:t>
            </w:r>
          </w:p>
        </w:tc>
        <w:tc>
          <w:tcPr/>
          <w:p>
            <w:pPr>
              <w:pStyle w:val="Compact"/>
            </w:pPr>
            <w:r>
              <w:t xml:space="preserve">OpenID Connect / SAML 2.0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ГОСТ TLS, УКЭП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INT-02</w:t>
            </w:r>
          </w:p>
        </w:tc>
        <w:tc>
          <w:tcPr/>
          <w:p>
            <w:pPr>
              <w:pStyle w:val="Compact"/>
            </w:pPr>
            <w:r>
              <w:t xml:space="preserve">Единая биометрическая система (ЕБС)</w:t>
            </w:r>
          </w:p>
        </w:tc>
        <w:tc>
          <w:tcPr/>
          <w:p>
            <w:pPr>
              <w:pStyle w:val="Compact"/>
            </w:pPr>
            <w:r>
              <w:t xml:space="preserve">Биометрическая идентификация</w:t>
            </w:r>
          </w:p>
        </w:tc>
        <w:tc>
          <w:tcPr/>
          <w:p>
            <w:pPr>
              <w:pStyle w:val="Compact"/>
            </w:pPr>
            <w:r>
              <w:t xml:space="preserve">СМЭВ 3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По запросу</w:t>
            </w:r>
          </w:p>
        </w:tc>
        <w:tc>
          <w:tcPr/>
          <w:p>
            <w:pPr>
              <w:pStyle w:val="Compact"/>
            </w:pPr>
            <w:r>
              <w:t xml:space="preserve">КриптоПро TLS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INT-03</w:t>
            </w:r>
          </w:p>
        </w:tc>
        <w:tc>
          <w:tcPr/>
          <w:p>
            <w:pPr>
              <w:pStyle w:val="Compact"/>
            </w:pPr>
            <w:r>
              <w:t xml:space="preserve">ЕГРН (Росреестр)</w:t>
            </w:r>
          </w:p>
        </w:tc>
        <w:tc>
          <w:tcPr/>
          <w:p>
            <w:pPr>
              <w:pStyle w:val="Compact"/>
            </w:pPr>
            <w:r>
              <w:t xml:space="preserve">Получение сведений о недвижимости, регистрация обременений</w:t>
            </w:r>
          </w:p>
        </w:tc>
        <w:tc>
          <w:tcPr/>
          <w:p>
            <w:pPr>
              <w:pStyle w:val="Compact"/>
            </w:pPr>
            <w:r>
              <w:t xml:space="preserve">СМЭВ 3 + SOAP</w:t>
            </w:r>
          </w:p>
        </w:tc>
        <w:tc>
          <w:tcPr/>
          <w:p>
            <w:pPr>
              <w:pStyle w:val="Compact"/>
            </w:pPr>
            <w:r>
              <w:t xml:space="preserve">SOAP / REST</w:t>
            </w:r>
          </w:p>
        </w:tc>
        <w:tc>
          <w:tcPr/>
          <w:p>
            <w:pPr>
              <w:pStyle w:val="Compact"/>
            </w:pPr>
            <w:r>
              <w:t xml:space="preserve">По запросу</w:t>
            </w:r>
          </w:p>
        </w:tc>
        <w:tc>
          <w:tcPr/>
          <w:p>
            <w:pPr>
              <w:pStyle w:val="Compact"/>
            </w:pPr>
            <w:r>
              <w:t xml:space="preserve">ГОСТ TLS, УКЭП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INT-04</w:t>
            </w:r>
          </w:p>
        </w:tc>
        <w:tc>
          <w:tcPr/>
          <w:p>
            <w:pPr>
              <w:pStyle w:val="Compact"/>
            </w:pPr>
            <w:r>
              <w:t xml:space="preserve">СМЭВ 3</w:t>
            </w:r>
          </w:p>
        </w:tc>
        <w:tc>
          <w:tcPr/>
          <w:p>
            <w:pPr>
              <w:pStyle w:val="Compact"/>
            </w:pPr>
            <w:r>
              <w:t xml:space="preserve">Межведомственный электронный документооборот</w:t>
            </w:r>
          </w:p>
        </w:tc>
        <w:tc>
          <w:tcPr/>
          <w:p>
            <w:pPr>
              <w:pStyle w:val="Compact"/>
            </w:pPr>
            <w:r>
              <w:t xml:space="preserve">SOAP</w:t>
            </w:r>
          </w:p>
        </w:tc>
        <w:tc>
          <w:tcPr/>
          <w:p>
            <w:pPr>
              <w:pStyle w:val="Compact"/>
            </w:pPr>
            <w:r>
              <w:t xml:space="preserve">SOAP 1.2</w:t>
            </w:r>
          </w:p>
        </w:tc>
        <w:tc>
          <w:tcPr/>
          <w:p>
            <w:pPr>
              <w:pStyle w:val="Compact"/>
            </w:pPr>
            <w:r>
              <w:t xml:space="preserve">По запросу</w:t>
            </w:r>
          </w:p>
        </w:tc>
        <w:tc>
          <w:tcPr/>
          <w:p>
            <w:pPr>
              <w:pStyle w:val="Compact"/>
            </w:pPr>
            <w:r>
              <w:t xml:space="preserve">КриптоПро TLS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INT-05</w:t>
            </w:r>
          </w:p>
        </w:tc>
        <w:tc>
          <w:tcPr/>
          <w:p>
            <w:pPr>
              <w:pStyle w:val="Compact"/>
            </w:pPr>
            <w:r>
              <w:t xml:space="preserve">ГИС ГМП</w:t>
            </w:r>
          </w:p>
        </w:tc>
        <w:tc>
          <w:tcPr/>
          <w:p>
            <w:pPr>
              <w:pStyle w:val="Compact"/>
            </w:pPr>
            <w:r>
              <w:t xml:space="preserve">Платежи и взаиморасчёты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Daily batch</w:t>
            </w:r>
          </w:p>
        </w:tc>
        <w:tc>
          <w:tcPr/>
          <w:p>
            <w:pPr>
              <w:pStyle w:val="Compact"/>
            </w:pPr>
            <w:r>
              <w:t xml:space="preserve">ГОСТ TLS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INT-06</w:t>
            </w:r>
          </w:p>
        </w:tc>
        <w:tc>
          <w:tcPr/>
          <w:p>
            <w:pPr>
              <w:pStyle w:val="Compact"/>
            </w:pPr>
            <w:r>
              <w:t xml:space="preserve">Банк России — реестр операторов ИС</w:t>
            </w:r>
          </w:p>
        </w:tc>
        <w:tc>
          <w:tcPr/>
          <w:p>
            <w:pPr>
              <w:pStyle w:val="Compact"/>
            </w:pPr>
            <w:r>
              <w:t xml:space="preserve">Регистрация оператора, отчётность</w:t>
            </w:r>
          </w:p>
        </w:tc>
        <w:tc>
          <w:tcPr/>
          <w:p>
            <w:pPr>
              <w:pStyle w:val="Compact"/>
            </w:pPr>
            <w:r>
              <w:t xml:space="preserve">Защищённый канал ВипНет</w:t>
            </w:r>
          </w:p>
        </w:tc>
        <w:tc>
          <w:tcPr/>
          <w:p>
            <w:pPr>
              <w:pStyle w:val="Compact"/>
            </w:pPr>
            <w:r>
              <w:t xml:space="preserve">XML / REST</w:t>
            </w:r>
          </w:p>
        </w:tc>
        <w:tc>
          <w:tcPr/>
          <w:p>
            <w:pPr>
              <w:pStyle w:val="Compact"/>
            </w:pPr>
            <w:r>
              <w:t xml:space="preserve">Регламентно</w:t>
            </w:r>
          </w:p>
        </w:tc>
        <w:tc>
          <w:tcPr/>
          <w:p>
            <w:pPr>
              <w:pStyle w:val="Compact"/>
            </w:pPr>
            <w:r>
              <w:t xml:space="preserve">ВипНет, УКЭП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INT-07</w:t>
            </w:r>
          </w:p>
        </w:tc>
        <w:tc>
          <w:tcPr/>
          <w:p>
            <w:pPr>
              <w:pStyle w:val="Compact"/>
            </w:pPr>
            <w:r>
              <w:t xml:space="preserve">Банк России — платформа цифрового рубля</w:t>
            </w:r>
          </w:p>
        </w:tc>
        <w:tc>
          <w:tcPr/>
          <w:p>
            <w:pPr>
              <w:pStyle w:val="Compact"/>
            </w:pPr>
            <w:r>
              <w:t xml:space="preserve">Эмиссия и перевод цифрового рубля</w:t>
            </w:r>
          </w:p>
        </w:tc>
        <w:tc>
          <w:tcPr/>
          <w:p>
            <w:pPr>
              <w:pStyle w:val="Compact"/>
            </w:pPr>
            <w:r>
              <w:t xml:space="preserve">Защищённый канал</w:t>
            </w:r>
          </w:p>
        </w:tc>
        <w:tc>
          <w:tcPr/>
          <w:p>
            <w:pPr>
              <w:pStyle w:val="Compact"/>
            </w:pPr>
            <w:r>
              <w:t xml:space="preserve">Внутренний протокол ЦБ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ВипНет, ГОСТ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INT-08</w:t>
            </w:r>
          </w:p>
        </w:tc>
        <w:tc>
          <w:tcPr/>
          <w:p>
            <w:pPr>
              <w:pStyle w:val="Compact"/>
            </w:pPr>
            <w:r>
              <w:t xml:space="preserve">СПФС (ЦБ РФ)</w:t>
            </w:r>
          </w:p>
        </w:tc>
        <w:tc>
          <w:tcPr/>
          <w:p>
            <w:pPr>
              <w:pStyle w:val="Compact"/>
            </w:pPr>
            <w:r>
              <w:t xml:space="preserve">Финансовые сообщения</w:t>
            </w:r>
          </w:p>
        </w:tc>
        <w:tc>
          <w:tcPr/>
          <w:p>
            <w:pPr>
              <w:pStyle w:val="Compact"/>
            </w:pPr>
            <w:r>
              <w:t xml:space="preserve">СПФС-шлюз</w:t>
            </w:r>
          </w:p>
        </w:tc>
        <w:tc>
          <w:tcPr/>
          <w:p>
            <w:pPr>
              <w:pStyle w:val="Compact"/>
            </w:pPr>
            <w:r>
              <w:t xml:space="preserve">СПФС-формат</w:t>
            </w:r>
          </w:p>
        </w:tc>
        <w:tc>
          <w:tcPr/>
          <w:p>
            <w:pPr>
              <w:pStyle w:val="Compact"/>
            </w:pPr>
            <w:r>
              <w:t xml:space="preserve">По расписанию</w:t>
            </w:r>
          </w:p>
        </w:tc>
        <w:tc>
          <w:tcPr/>
          <w:p>
            <w:pPr>
              <w:pStyle w:val="Compact"/>
            </w:pPr>
            <w:r>
              <w:t xml:space="preserve">ВипНет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INT-09</w:t>
            </w:r>
          </w:p>
        </w:tc>
        <w:tc>
          <w:tcPr/>
          <w:p>
            <w:pPr>
              <w:pStyle w:val="Compact"/>
            </w:pPr>
            <w:r>
              <w:t xml:space="preserve">Федеральное казначейство</w:t>
            </w:r>
          </w:p>
        </w:tc>
        <w:tc>
          <w:tcPr/>
          <w:p>
            <w:pPr>
              <w:pStyle w:val="Compact"/>
            </w:pPr>
            <w:r>
              <w:t xml:space="preserve">Передача целевых средств, отчётность</w:t>
            </w:r>
          </w:p>
        </w:tc>
        <w:tc>
          <w:tcPr/>
          <w:p>
            <w:pPr>
              <w:pStyle w:val="Compact"/>
            </w:pPr>
            <w:r>
              <w:t xml:space="preserve">СМЭВ 3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По расписанию</w:t>
            </w:r>
          </w:p>
        </w:tc>
        <w:tc>
          <w:tcPr/>
          <w:p>
            <w:pPr>
              <w:pStyle w:val="Compact"/>
            </w:pPr>
            <w:r>
              <w:t xml:space="preserve">ГОСТ TLS, УКЭП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INT-10</w:t>
            </w:r>
          </w:p>
        </w:tc>
        <w:tc>
          <w:tcPr/>
          <w:p>
            <w:pPr>
              <w:pStyle w:val="Compact"/>
            </w:pPr>
            <w:r>
              <w:t xml:space="preserve">Росфинмониторинг</w:t>
            </w:r>
          </w:p>
        </w:tc>
        <w:tc>
          <w:tcPr/>
          <w:p>
            <w:pPr>
              <w:pStyle w:val="Compact"/>
            </w:pPr>
            <w:r>
              <w:t xml:space="preserve">Отчётность 115-ФЗ</w:t>
            </w:r>
          </w:p>
        </w:tc>
        <w:tc>
          <w:tcPr/>
          <w:p>
            <w:pPr>
              <w:pStyle w:val="Compact"/>
            </w:pPr>
            <w:r>
              <w:t xml:space="preserve">СМЭВ 3</w:t>
            </w:r>
          </w:p>
        </w:tc>
        <w:tc>
          <w:tcPr/>
          <w:p>
            <w:pPr>
              <w:pStyle w:val="Compact"/>
            </w:pPr>
            <w:r>
              <w:t xml:space="preserve">XML / REST</w:t>
            </w:r>
          </w:p>
        </w:tc>
        <w:tc>
          <w:tcPr/>
          <w:p>
            <w:pPr>
              <w:pStyle w:val="Compact"/>
            </w:pPr>
            <w:r>
              <w:t xml:space="preserve">По расписанию</w:t>
            </w:r>
          </w:p>
        </w:tc>
        <w:tc>
          <w:tcPr/>
          <w:p>
            <w:pPr>
              <w:pStyle w:val="Compact"/>
            </w:pPr>
            <w:r>
              <w:t xml:space="preserve">ГОСТ TLS, УКЭП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INT-11</w:t>
            </w:r>
          </w:p>
        </w:tc>
        <w:tc>
          <w:tcPr/>
          <w:p>
            <w:pPr>
              <w:pStyle w:val="Compact"/>
            </w:pPr>
            <w:r>
              <w:t xml:space="preserve">ФНС России</w:t>
            </w:r>
          </w:p>
        </w:tc>
        <w:tc>
          <w:tcPr/>
          <w:p>
            <w:pPr>
              <w:pStyle w:val="Compact"/>
            </w:pPr>
            <w:r>
              <w:t xml:space="preserve">Налоговые отчёты, проверка ИНН</w:t>
            </w:r>
          </w:p>
        </w:tc>
        <w:tc>
          <w:tcPr/>
          <w:p>
            <w:pPr>
              <w:pStyle w:val="Compact"/>
            </w:pPr>
            <w:r>
              <w:t xml:space="preserve">СМЭВ 3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Daily / on-demand</w:t>
            </w:r>
          </w:p>
        </w:tc>
        <w:tc>
          <w:tcPr/>
          <w:p>
            <w:pPr>
              <w:pStyle w:val="Compact"/>
            </w:pPr>
            <w:r>
              <w:t xml:space="preserve">ГОСТ TLS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INT-12</w:t>
            </w:r>
          </w:p>
        </w:tc>
        <w:tc>
          <w:tcPr/>
          <w:p>
            <w:pPr>
              <w:pStyle w:val="Compact"/>
            </w:pPr>
            <w:r>
              <w:t xml:space="preserve">ФСТЭК / ФСБ — сертификация СЗИ</w:t>
            </w:r>
          </w:p>
        </w:tc>
        <w:tc>
          <w:tcPr/>
          <w:p>
            <w:pPr>
              <w:pStyle w:val="Compact"/>
            </w:pPr>
            <w:r>
              <w:t xml:space="preserve">Регламентное взаимодействие</w:t>
            </w:r>
          </w:p>
        </w:tc>
        <w:tc>
          <w:tcPr/>
          <w:p>
            <w:pPr>
              <w:pStyle w:val="Compact"/>
            </w:pPr>
            <w:r>
              <w:t xml:space="preserve">Документооборот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INT-13</w:t>
            </w:r>
          </w:p>
        </w:tc>
        <w:tc>
          <w:tcPr/>
          <w:p>
            <w:pPr>
              <w:pStyle w:val="Compact"/>
            </w:pPr>
            <w:r>
              <w:t xml:space="preserve">НСПК (Мир)</w:t>
            </w:r>
          </w:p>
        </w:tc>
        <w:tc>
          <w:tcPr/>
          <w:p>
            <w:pPr>
              <w:pStyle w:val="Compact"/>
            </w:pPr>
            <w:r>
              <w:t xml:space="preserve">Платежи по карте «Мир»</w:t>
            </w:r>
          </w:p>
        </w:tc>
        <w:tc>
          <w:tcPr/>
          <w:p>
            <w:pPr>
              <w:pStyle w:val="Compact"/>
            </w:pPr>
            <w:r>
              <w:t xml:space="preserve">Защищённый канал</w:t>
            </w:r>
          </w:p>
        </w:tc>
        <w:tc>
          <w:tcPr/>
          <w:p>
            <w:pPr>
              <w:pStyle w:val="Compact"/>
            </w:pPr>
            <w:r>
              <w:t xml:space="preserve">НСПК-протокол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ГОСТ TLS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INT-14</w:t>
            </w:r>
          </w:p>
        </w:tc>
        <w:tc>
          <w:tcPr/>
          <w:p>
            <w:pPr>
              <w:pStyle w:val="Compact"/>
            </w:pPr>
            <w:r>
              <w:t xml:space="preserve">Мос.ру / Мос.рег</w:t>
            </w:r>
          </w:p>
        </w:tc>
        <w:tc>
          <w:tcPr/>
          <w:p>
            <w:pPr>
              <w:pStyle w:val="Compact"/>
            </w:pPr>
            <w:r>
              <w:t xml:space="preserve">Региональная идентификация (опц.)</w:t>
            </w:r>
          </w:p>
        </w:tc>
        <w:tc>
          <w:tcPr/>
          <w:p>
            <w:pPr>
              <w:pStyle w:val="Compact"/>
            </w:pPr>
            <w:r>
              <w:t xml:space="preserve">СМЭВ 3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По запросу</w:t>
            </w:r>
          </w:p>
        </w:tc>
        <w:tc>
          <w:tcPr/>
          <w:p>
            <w:pPr>
              <w:pStyle w:val="Compact"/>
            </w:pPr>
            <w:r>
              <w:t xml:space="preserve">ГОСТ TLS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INT-15</w:t>
            </w:r>
          </w:p>
        </w:tc>
        <w:tc>
          <w:tcPr/>
          <w:p>
            <w:pPr>
              <w:pStyle w:val="Compact"/>
            </w:pPr>
            <w:r>
              <w:t xml:space="preserve">Роспатент</w:t>
            </w:r>
          </w:p>
        </w:tc>
        <w:tc>
          <w:tcPr/>
          <w:p>
            <w:pPr>
              <w:pStyle w:val="Compact"/>
            </w:pPr>
            <w:r>
              <w:t xml:space="preserve">Подтверждение прав на интеллектуальную собственность</w:t>
            </w:r>
          </w:p>
        </w:tc>
        <w:tc>
          <w:tcPr/>
          <w:p>
            <w:pPr>
              <w:pStyle w:val="Compact"/>
            </w:pPr>
            <w:r>
              <w:t xml:space="preserve">СМЭВ 3</w:t>
            </w:r>
          </w:p>
        </w:tc>
        <w:tc>
          <w:tcPr/>
          <w:p>
            <w:pPr>
              <w:pStyle w:val="Compact"/>
            </w:pPr>
            <w:r>
              <w:t xml:space="preserve">SOAP</w:t>
            </w:r>
          </w:p>
        </w:tc>
        <w:tc>
          <w:tcPr/>
          <w:p>
            <w:pPr>
              <w:pStyle w:val="Compact"/>
            </w:pPr>
            <w:r>
              <w:t xml:space="preserve">По запросу</w:t>
            </w:r>
          </w:p>
        </w:tc>
        <w:tc>
          <w:tcPr/>
          <w:p>
            <w:pPr>
              <w:pStyle w:val="Compact"/>
            </w:pPr>
            <w:r>
              <w:t xml:space="preserve">ГОСТ TLS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INT-16</w:t>
            </w:r>
          </w:p>
        </w:tc>
        <w:tc>
          <w:tcPr/>
          <w:p>
            <w:pPr>
              <w:pStyle w:val="Compact"/>
            </w:pPr>
            <w:r>
              <w:t xml:space="preserve">ФНП (нотариат)</w:t>
            </w:r>
          </w:p>
        </w:tc>
        <w:tc>
          <w:tcPr/>
          <w:p>
            <w:pPr>
              <w:pStyle w:val="Compact"/>
            </w:pPr>
            <w:r>
              <w:t xml:space="preserve">Регистрация залога движимого имущества</w:t>
            </w:r>
          </w:p>
        </w:tc>
        <w:tc>
          <w:tcPr/>
          <w:p>
            <w:pPr>
              <w:pStyle w:val="Compact"/>
            </w:pPr>
            <w:r>
              <w:t xml:space="preserve">API ФНП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По запросу</w:t>
            </w:r>
          </w:p>
        </w:tc>
        <w:tc>
          <w:tcPr/>
          <w:p>
            <w:pPr>
              <w:pStyle w:val="Compact"/>
            </w:pPr>
            <w:r>
              <w:t xml:space="preserve">ГОСТ TLS, УКЭП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INT-17</w:t>
            </w:r>
          </w:p>
        </w:tc>
        <w:tc>
          <w:tcPr/>
          <w:p>
            <w:pPr>
              <w:pStyle w:val="Compact"/>
            </w:pPr>
            <w:r>
              <w:t xml:space="preserve">ГИС ЖКХ</w:t>
            </w:r>
          </w:p>
        </w:tc>
        <w:tc>
          <w:tcPr/>
          <w:p>
            <w:pPr>
              <w:pStyle w:val="Compact"/>
            </w:pPr>
            <w:r>
              <w:t xml:space="preserve">Информация по объектам недвижимости (опц.)</w:t>
            </w:r>
          </w:p>
        </w:tc>
        <w:tc>
          <w:tcPr/>
          <w:p>
            <w:pPr>
              <w:pStyle w:val="Compact"/>
            </w:pPr>
            <w:r>
              <w:t xml:space="preserve">СМЭВ 3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По запросу</w:t>
            </w:r>
          </w:p>
        </w:tc>
        <w:tc>
          <w:tcPr/>
          <w:p>
            <w:pPr>
              <w:pStyle w:val="Compact"/>
            </w:pPr>
            <w:r>
              <w:t xml:space="preserve">ГОСТ TLS</w:t>
            </w:r>
          </w:p>
        </w:tc>
      </w:tr>
    </w:tbl>
    <w:bookmarkEnd w:id="9"/>
    <w:bookmarkStart w:id="17" w:name="детальные-регламенты-ключевых-интеграций"/>
    <w:p>
      <w:pPr>
        <w:pStyle w:val="Heading2"/>
      </w:pPr>
      <w:r>
        <w:t xml:space="preserve">2. Детальные регламенты ключевых интеграций</w:t>
      </w:r>
    </w:p>
    <w:bookmarkStart w:id="10" w:name="есиа-госуслуги"/>
    <w:p>
      <w:pPr>
        <w:pStyle w:val="Heading3"/>
      </w:pPr>
      <w:r>
        <w:t xml:space="preserve">2.1. ЕСИА (Госуслуги)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Стандарт:</w:t>
      </w:r>
      <w:r>
        <w:t xml:space="preserve"> </w:t>
      </w:r>
      <w:r>
        <w:t xml:space="preserve">Методические рекомендации по применению ЕСИА (Минцифры).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Аутентификация:</w:t>
      </w:r>
      <w:r>
        <w:t xml:space="preserve"> </w:t>
      </w:r>
      <w:r>
        <w:t xml:space="preserve">OpenID Connect 1.0.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Уровень учётной записи:</w:t>
      </w:r>
      <w:r>
        <w:t xml:space="preserve"> </w:t>
      </w:r>
      <w:r>
        <w:t xml:space="preserve">Подтверждённая (УЗ-3).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Сценарии:</w:t>
      </w:r>
      <w:r>
        <w:t xml:space="preserve"> </w:t>
      </w:r>
      <w:r>
        <w:t xml:space="preserve">регистрация, авторизация, получение ПДн при согласии пользователя, межведомственная проверка.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Особенности:</w:t>
      </w:r>
      <w:r>
        <w:t xml:space="preserve"> </w:t>
      </w:r>
      <w:r>
        <w:t xml:space="preserve">требуется подключение через защищённый канал; согласие пользователя оформляется на странице ЕСИА.</w:t>
      </w:r>
    </w:p>
    <w:bookmarkEnd w:id="10"/>
    <w:bookmarkStart w:id="11" w:name="ебс-единая-биометрическая-система"/>
    <w:p>
      <w:pPr>
        <w:pStyle w:val="Heading3"/>
      </w:pPr>
      <w:r>
        <w:t xml:space="preserve">2.2. ЕБС (Единая биометрическая система)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Стандарт:</w:t>
      </w:r>
      <w:r>
        <w:t xml:space="preserve"> </w:t>
      </w:r>
      <w:r>
        <w:t xml:space="preserve">Положение Банка России №482-П.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биометрическая идентификация для удалённой подачи активов и подписания контрактов.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Тип биометрии:</w:t>
      </w:r>
      <w:r>
        <w:t xml:space="preserve"> </w:t>
      </w:r>
      <w:r>
        <w:t xml:space="preserve">голос + лицо (multimodal).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Особенности:</w:t>
      </w:r>
      <w:r>
        <w:t xml:space="preserve"> </w:t>
      </w:r>
      <w:r>
        <w:t xml:space="preserve">платформа выступает в роли потребителя ЕБС; передача биометрических векторов запрещена, только верификация по идентификатору.</w:t>
      </w:r>
    </w:p>
    <w:bookmarkEnd w:id="11"/>
    <w:bookmarkStart w:id="12" w:name="егрн-росреестр"/>
    <w:p>
      <w:pPr>
        <w:pStyle w:val="Heading3"/>
      </w:pPr>
      <w:r>
        <w:t xml:space="preserve">2.3. ЕГРН (Росреестр)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Стандарт:</w:t>
      </w:r>
      <w:r>
        <w:t xml:space="preserve"> </w:t>
      </w:r>
      <w:r>
        <w:t xml:space="preserve">Регламент электронного взаимодействия с Росреестром.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Сценарии:</w:t>
      </w:r>
    </w:p>
    <w:p>
      <w:pPr>
        <w:pStyle w:val="Compact"/>
        <w:numPr>
          <w:ilvl w:val="1"/>
          <w:numId w:val="1004"/>
        </w:numPr>
      </w:pPr>
      <w:r>
        <w:t xml:space="preserve">получение сведений об объекте недвижимости по кадастровому номеру (для оценки);</w:t>
      </w:r>
    </w:p>
    <w:p>
      <w:pPr>
        <w:pStyle w:val="Compact"/>
        <w:numPr>
          <w:ilvl w:val="1"/>
          <w:numId w:val="1004"/>
        </w:numPr>
      </w:pPr>
      <w:r>
        <w:t xml:space="preserve">подача заявления о государственной регистрации обременения (залога);</w:t>
      </w:r>
    </w:p>
    <w:p>
      <w:pPr>
        <w:pStyle w:val="Compact"/>
        <w:numPr>
          <w:ilvl w:val="1"/>
          <w:numId w:val="1004"/>
        </w:numPr>
      </w:pPr>
      <w:r>
        <w:t xml:space="preserve">подача заявления о снятии обременения после мены / окончания срока.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Особенности:</w:t>
      </w:r>
      <w:r>
        <w:t xml:space="preserve"> </w:t>
      </w:r>
      <w:r>
        <w:t xml:space="preserve">все обращения подписываются УКЭП оператора платформы.</w:t>
      </w:r>
    </w:p>
    <w:bookmarkEnd w:id="12"/>
    <w:bookmarkStart w:id="13" w:name="банк-россии-реестр-операторов-ис"/>
    <w:p>
      <w:pPr>
        <w:pStyle w:val="Heading3"/>
      </w:pPr>
      <w:r>
        <w:t xml:space="preserve">2.4. Банк России — реестр операторов ИС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Регламент:</w:t>
      </w:r>
      <w:r>
        <w:t xml:space="preserve"> </w:t>
      </w:r>
      <w:r>
        <w:t xml:space="preserve">Положение №779-П.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Регулярные отчёты:</w:t>
      </w:r>
    </w:p>
    <w:p>
      <w:pPr>
        <w:pStyle w:val="Compact"/>
        <w:numPr>
          <w:ilvl w:val="1"/>
          <w:numId w:val="1006"/>
        </w:numPr>
      </w:pPr>
      <w:r>
        <w:t xml:space="preserve">объём выпущенных ЦФА (ежемесячно);</w:t>
      </w:r>
    </w:p>
    <w:p>
      <w:pPr>
        <w:pStyle w:val="Compact"/>
        <w:numPr>
          <w:ilvl w:val="1"/>
          <w:numId w:val="1006"/>
        </w:numPr>
      </w:pPr>
      <w:r>
        <w:t xml:space="preserve">реестр активных ЦФА (ежеквартально);</w:t>
      </w:r>
    </w:p>
    <w:p>
      <w:pPr>
        <w:pStyle w:val="Compact"/>
        <w:numPr>
          <w:ilvl w:val="1"/>
          <w:numId w:val="1006"/>
        </w:numPr>
      </w:pPr>
      <w:r>
        <w:t xml:space="preserve">финансовые показатели оператора (ежеквартально);</w:t>
      </w:r>
    </w:p>
    <w:p>
      <w:pPr>
        <w:pStyle w:val="Compact"/>
        <w:numPr>
          <w:ilvl w:val="1"/>
          <w:numId w:val="1006"/>
        </w:numPr>
      </w:pPr>
      <w:r>
        <w:t xml:space="preserve">инциденты ИБ (в течение 24 ч после обнаружения).</w:t>
      </w:r>
    </w:p>
    <w:bookmarkEnd w:id="13"/>
    <w:bookmarkStart w:id="14" w:name="банк-россии-платформа-цифрового-рубля"/>
    <w:p>
      <w:pPr>
        <w:pStyle w:val="Heading3"/>
      </w:pPr>
      <w:r>
        <w:t xml:space="preserve">2.5. Банк России — платформа цифрового рубля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Регламент:</w:t>
      </w:r>
      <w:r>
        <w:t xml:space="preserve"> </w:t>
      </w:r>
      <w:r>
        <w:t xml:space="preserve">Глава X ФЗ-86 (после №340-ФЗ).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Сценарии:</w:t>
      </w:r>
    </w:p>
    <w:p>
      <w:pPr>
        <w:pStyle w:val="Compact"/>
        <w:numPr>
          <w:ilvl w:val="1"/>
          <w:numId w:val="1008"/>
        </w:numPr>
      </w:pPr>
      <w:r>
        <w:t xml:space="preserve">запрос на выпуск цифрового рубля под пул залоговых ЦФА;</w:t>
      </w:r>
    </w:p>
    <w:p>
      <w:pPr>
        <w:pStyle w:val="Compact"/>
        <w:numPr>
          <w:ilvl w:val="1"/>
          <w:numId w:val="1008"/>
        </w:numPr>
      </w:pPr>
      <w:r>
        <w:t xml:space="preserve">получение подтверждения зачисления на специальный цифровой кошелёк;</w:t>
      </w:r>
    </w:p>
    <w:p>
      <w:pPr>
        <w:pStyle w:val="Compact"/>
        <w:numPr>
          <w:ilvl w:val="1"/>
          <w:numId w:val="1008"/>
        </w:numPr>
      </w:pPr>
      <w:r>
        <w:t xml:space="preserve">инициирование перевода на цифровой кошелёк Федерального казначейства.</w:t>
      </w:r>
    </w:p>
    <w:bookmarkEnd w:id="14"/>
    <w:bookmarkStart w:id="15" w:name="федеральное-казначейство"/>
    <w:p>
      <w:pPr>
        <w:pStyle w:val="Heading3"/>
      </w:pPr>
      <w:r>
        <w:t xml:space="preserve">2.6. Федеральное казначейство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получение средств целевой эмиссии; подтверждение целевого расходования; отчёт о реализации проекта.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Протокол:</w:t>
      </w:r>
      <w:r>
        <w:t xml:space="preserve"> </w:t>
      </w:r>
      <w:r>
        <w:t xml:space="preserve">СМЭВ 3 + защищённые отчёты в стандартизированных формах ФК.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Уведомления:</w:t>
      </w:r>
      <w:r>
        <w:t xml:space="preserve"> </w:t>
      </w:r>
      <w:r>
        <w:t xml:space="preserve">при каждом этапе — автоматические нотификации в DLT-реестре и audit log.</w:t>
      </w:r>
    </w:p>
    <w:bookmarkEnd w:id="15"/>
    <w:bookmarkStart w:id="16" w:name="росфинмониторинг"/>
    <w:p>
      <w:pPr>
        <w:pStyle w:val="Heading3"/>
      </w:pPr>
      <w:r>
        <w:t xml:space="preserve">2.7. Росфинмониторинг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Регламент:</w:t>
      </w:r>
      <w:r>
        <w:t xml:space="preserve"> </w:t>
      </w:r>
      <w:r>
        <w:t xml:space="preserve">115-ФЗ, приказ Росфинмониторинга №366.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Отчётность:</w:t>
      </w:r>
    </w:p>
    <w:p>
      <w:pPr>
        <w:pStyle w:val="Compact"/>
        <w:numPr>
          <w:ilvl w:val="1"/>
          <w:numId w:val="1011"/>
        </w:numPr>
      </w:pPr>
      <w:r>
        <w:t xml:space="preserve">обязательный контроль операций;</w:t>
      </w:r>
    </w:p>
    <w:p>
      <w:pPr>
        <w:pStyle w:val="Compact"/>
        <w:numPr>
          <w:ilvl w:val="1"/>
          <w:numId w:val="1011"/>
        </w:numPr>
      </w:pPr>
      <w:r>
        <w:t xml:space="preserve">подозрительные операции (по риск-ориентированному подходу);</w:t>
      </w:r>
    </w:p>
    <w:p>
      <w:pPr>
        <w:pStyle w:val="Compact"/>
        <w:numPr>
          <w:ilvl w:val="1"/>
          <w:numId w:val="1011"/>
        </w:numPr>
      </w:pPr>
      <w:r>
        <w:t xml:space="preserve">сведения о бенефициарных владельцах.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Особенности:</w:t>
      </w:r>
      <w:r>
        <w:t xml:space="preserve"> </w:t>
      </w:r>
      <w:r>
        <w:t xml:space="preserve">платформа отправляет отчёты в установленных XML-форматах ФЭС.</w:t>
      </w:r>
    </w:p>
    <w:bookmarkEnd w:id="16"/>
    <w:bookmarkEnd w:id="17"/>
    <w:bookmarkStart w:id="18" w:name="безопасность-интеграций"/>
    <w:p>
      <w:pPr>
        <w:pStyle w:val="Heading2"/>
      </w:pPr>
      <w:r>
        <w:t xml:space="preserve">3. Безопасность интеграций</w:t>
      </w:r>
    </w:p>
    <w:p>
      <w:pPr>
        <w:pStyle w:val="Compact"/>
        <w:numPr>
          <w:ilvl w:val="0"/>
          <w:numId w:val="1012"/>
        </w:numPr>
      </w:pPr>
      <w:r>
        <w:t xml:space="preserve">Все каналы шифруются с использованием ГОСТ TLS / ВипНет.</w:t>
      </w:r>
    </w:p>
    <w:p>
      <w:pPr>
        <w:pStyle w:val="Compact"/>
        <w:numPr>
          <w:ilvl w:val="0"/>
          <w:numId w:val="1012"/>
        </w:numPr>
      </w:pPr>
      <w:r>
        <w:t xml:space="preserve">Все запросы — со взаимной аутентификацией mTLS.</w:t>
      </w:r>
    </w:p>
    <w:p>
      <w:pPr>
        <w:pStyle w:val="Compact"/>
        <w:numPr>
          <w:ilvl w:val="0"/>
          <w:numId w:val="1012"/>
        </w:numPr>
      </w:pPr>
      <w:r>
        <w:t xml:space="preserve">Все исходящие транзакции подписываются УКЭП оператора.</w:t>
      </w:r>
    </w:p>
    <w:p>
      <w:pPr>
        <w:pStyle w:val="Compact"/>
        <w:numPr>
          <w:ilvl w:val="0"/>
          <w:numId w:val="1012"/>
        </w:numPr>
      </w:pPr>
      <w:r>
        <w:t xml:space="preserve">Все обращения логируются в неизменяемый audit log с трассировкой.</w:t>
      </w:r>
    </w:p>
    <w:p>
      <w:pPr>
        <w:pStyle w:val="Compact"/>
        <w:numPr>
          <w:ilvl w:val="0"/>
          <w:numId w:val="1012"/>
        </w:numPr>
      </w:pPr>
      <w:r>
        <w:t xml:space="preserve">Все интеграционные шлюзы вынесены в DMZ-сегмент с собственным WAF.</w:t>
      </w:r>
    </w:p>
    <w:bookmarkEnd w:id="18"/>
    <w:bookmarkStart w:id="19" w:name="управление-договорной-базой-интеграций"/>
    <w:p>
      <w:pPr>
        <w:pStyle w:val="Heading2"/>
      </w:pPr>
      <w:r>
        <w:t xml:space="preserve">4. Управление договорной базой интеграций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Контрагент</w:t>
            </w:r>
          </w:p>
        </w:tc>
        <w:tc>
          <w:tcPr/>
          <w:p>
            <w:pPr>
              <w:pStyle w:val="Compact"/>
            </w:pPr>
            <w:r>
              <w:t xml:space="preserve">Тип договора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ЦБ РФ</w:t>
            </w:r>
          </w:p>
        </w:tc>
        <w:tc>
          <w:tcPr/>
          <w:p>
            <w:pPr>
              <w:pStyle w:val="Compact"/>
            </w:pPr>
            <w:r>
              <w:t xml:space="preserve">Соглашение об информационном взаимодействии</w:t>
            </w:r>
          </w:p>
        </w:tc>
        <w:tc>
          <w:tcPr/>
          <w:p>
            <w:pPr>
              <w:pStyle w:val="Compact"/>
            </w:pPr>
            <w:r>
              <w:t xml:space="preserve">бессрочный, с пересмотром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Федеральное казначейство</w:t>
            </w:r>
          </w:p>
        </w:tc>
        <w:tc>
          <w:tcPr/>
          <w:p>
            <w:pPr>
              <w:pStyle w:val="Compact"/>
            </w:pPr>
            <w:r>
              <w:t xml:space="preserve">Соглашение об информационном взаимодействии</w:t>
            </w:r>
          </w:p>
        </w:tc>
        <w:tc>
          <w:tcPr/>
          <w:p>
            <w:pPr>
              <w:pStyle w:val="Compact"/>
            </w:pPr>
            <w:r>
              <w:t xml:space="preserve">бессрочный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Минцифры (СМЭВ 3, ЕСИА, ЕБС)</w:t>
            </w:r>
          </w:p>
        </w:tc>
        <w:tc>
          <w:tcPr/>
          <w:p>
            <w:pPr>
              <w:pStyle w:val="Compact"/>
            </w:pPr>
            <w:r>
              <w:t xml:space="preserve">Регламент подключения</w:t>
            </w:r>
          </w:p>
        </w:tc>
        <w:tc>
          <w:tcPr/>
          <w:p>
            <w:pPr>
              <w:pStyle w:val="Compact"/>
            </w:pPr>
            <w:r>
              <w:t xml:space="preserve">5 лет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Росреестр</w:t>
            </w:r>
          </w:p>
        </w:tc>
        <w:tc>
          <w:tcPr/>
          <w:p>
            <w:pPr>
              <w:pStyle w:val="Compact"/>
            </w:pPr>
            <w:r>
              <w:t xml:space="preserve">Соглашение о подключении</w:t>
            </w:r>
          </w:p>
        </w:tc>
        <w:tc>
          <w:tcPr/>
          <w:p>
            <w:pPr>
              <w:pStyle w:val="Compact"/>
            </w:pPr>
            <w:r>
              <w:t xml:space="preserve">5 лет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Росфинмониторинг</w:t>
            </w:r>
          </w:p>
        </w:tc>
        <w:tc>
          <w:tcPr/>
          <w:p>
            <w:pPr>
              <w:pStyle w:val="Compact"/>
            </w:pPr>
            <w:r>
              <w:t xml:space="preserve">Регламент подключения</w:t>
            </w:r>
          </w:p>
        </w:tc>
        <w:tc>
          <w:tcPr/>
          <w:p>
            <w:pPr>
              <w:pStyle w:val="Compact"/>
            </w:pPr>
            <w:r>
              <w:t xml:space="preserve">5 лет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ФНС</w:t>
            </w:r>
          </w:p>
        </w:tc>
        <w:tc>
          <w:tcPr/>
          <w:p>
            <w:pPr>
              <w:pStyle w:val="Compact"/>
            </w:pPr>
            <w:r>
              <w:t xml:space="preserve">Соглашение по СМЭВ</w:t>
            </w:r>
          </w:p>
        </w:tc>
        <w:tc>
          <w:tcPr/>
          <w:p>
            <w:pPr>
              <w:pStyle w:val="Compact"/>
            </w:pPr>
            <w:r>
              <w:t xml:space="preserve">5 лет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НСПК</w:t>
            </w:r>
          </w:p>
        </w:tc>
        <w:tc>
          <w:tcPr/>
          <w:p>
            <w:pPr>
              <w:pStyle w:val="Compact"/>
            </w:pPr>
            <w:r>
              <w:t xml:space="preserve">Технологическое соглашение</w:t>
            </w:r>
          </w:p>
        </w:tc>
        <w:tc>
          <w:tcPr/>
          <w:p>
            <w:pPr>
              <w:pStyle w:val="Compact"/>
            </w:pPr>
            <w:r>
              <w:t xml:space="preserve">3 года</w:t>
            </w:r>
          </w:p>
        </w:tc>
      </w:tr>
    </w:tbl>
    <w:bookmarkEnd w:id="19"/>
    <w:bookmarkStart w:id="20" w:name="эволюция-интеграций"/>
    <w:p>
      <w:pPr>
        <w:pStyle w:val="Heading2"/>
      </w:pPr>
      <w:r>
        <w:t xml:space="preserve">5. Эволюция интеграций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Фаза 1 (2025–2026):</w:t>
      </w:r>
      <w:r>
        <w:t xml:space="preserve"> </w:t>
      </w:r>
      <w:r>
        <w:t xml:space="preserve">базовый набор INT-01–INT-11.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Фаза 2 (2026–2027):</w:t>
      </w:r>
      <w:r>
        <w:t xml:space="preserve"> </w:t>
      </w:r>
      <w:r>
        <w:t xml:space="preserve">добавление INT-12–INT-17 и расширенных сценариев цифрового рубля.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Фаза 3 (2027+):</w:t>
      </w:r>
      <w:r>
        <w:t xml:space="preserve"> </w:t>
      </w:r>
      <w:r>
        <w:t xml:space="preserve">межгосударственные интеграции (БРИКС+, ЕАЭС).</w:t>
      </w:r>
    </w:p>
    <w:bookmarkEnd w:id="20"/>
    <w:bookmarkStart w:id="21" w:name="управление-инцидентами-интеграций"/>
    <w:p>
      <w:pPr>
        <w:pStyle w:val="Heading2"/>
      </w:pPr>
      <w:r>
        <w:t xml:space="preserve">6. Управление инцидентами интеграций</w:t>
      </w:r>
    </w:p>
    <w:p>
      <w:pPr>
        <w:pStyle w:val="Compact"/>
        <w:numPr>
          <w:ilvl w:val="0"/>
          <w:numId w:val="1014"/>
        </w:numPr>
      </w:pPr>
      <w:r>
        <w:t xml:space="preserve">Мониторинг доступности каждой интеграции в режиме 24×7.</w:t>
      </w:r>
    </w:p>
    <w:p>
      <w:pPr>
        <w:pStyle w:val="Compact"/>
        <w:numPr>
          <w:ilvl w:val="0"/>
          <w:numId w:val="1014"/>
        </w:numPr>
      </w:pPr>
      <w:r>
        <w:t xml:space="preserve">Алерты при превышении порогов (latency, error rate).</w:t>
      </w:r>
    </w:p>
    <w:p>
      <w:pPr>
        <w:pStyle w:val="Compact"/>
        <w:numPr>
          <w:ilvl w:val="0"/>
          <w:numId w:val="1014"/>
        </w:numPr>
      </w:pPr>
      <w:r>
        <w:t xml:space="preserve">Регулярные ревью с командами ведомств-владельцев.</w:t>
      </w:r>
    </w:p>
    <w:p>
      <w:pPr>
        <w:pStyle w:val="Compact"/>
        <w:numPr>
          <w:ilvl w:val="0"/>
          <w:numId w:val="1014"/>
        </w:numPr>
      </w:pPr>
      <w:r>
        <w:t xml:space="preserve">Бэкап-каналы для критичных интеграций (Банк России, Федеральное казначейство).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2026-05-23T20:40:12Z</dcterms:created>
  <dcterms:modified xsi:type="dcterms:W3CDTF">2026-05-23T20:40:12Z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