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безопасность-и-кии-цп-рсфср"/>
    <w:p>
      <w:pPr>
        <w:pStyle w:val="Heading1"/>
      </w:pPr>
      <w:r>
        <w:t xml:space="preserve">Безопасность и КИИ ЦП РСФСР</w:t>
      </w:r>
    </w:p>
    <w:p>
      <w:pPr>
        <w:pStyle w:val="FirstParagraph"/>
      </w:pPr>
      <w:r>
        <w:t xml:space="preserve">Документ описывает модель угроз, систему защиты информации, режим эксплуатации платформы как объекта критической информационной инфраструктуры (ФЗ-187).</w:t>
      </w:r>
    </w:p>
    <w:p>
      <w:r>
        <w:pict>
          <v:rect style="width:0;height:1.5pt" o:hralign="center" o:hrstd="t" o:hr="t"/>
        </w:pict>
      </w:r>
    </w:p>
    <w:bookmarkStart w:id="9" w:name="категоризация-ис"/>
    <w:p>
      <w:pPr>
        <w:pStyle w:val="Heading2"/>
      </w:pPr>
      <w:r>
        <w:t xml:space="preserve">1. Категоризация ИС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 объекта КИИ (ФЗ-187)</w:t>
            </w:r>
          </w:p>
        </w:tc>
        <w:tc>
          <w:tcPr/>
          <w:p>
            <w:pPr>
              <w:pStyle w:val="Compact"/>
            </w:pPr>
            <w:r>
              <w:t xml:space="preserve">1 (наивысшая значимость)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защищённости ПДн (ПП РФ №1119)</w:t>
            </w:r>
          </w:p>
        </w:tc>
        <w:tc>
          <w:tcPr/>
          <w:p>
            <w:pPr>
              <w:pStyle w:val="Compact"/>
            </w:pPr>
            <w:r>
              <w:t xml:space="preserve">УЗ-1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защиты по ГОСТ Р 57580.1</w:t>
            </w:r>
          </w:p>
        </w:tc>
        <w:tc>
          <w:tcPr/>
          <w:p>
            <w:pPr>
              <w:pStyle w:val="Compact"/>
            </w:pPr>
            <w:r>
              <w:t xml:space="preserve">4 (максимальный)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ГИС (Приказ ФСТЭК №17)</w:t>
            </w:r>
          </w:p>
        </w:tc>
        <w:tc>
          <w:tcPr/>
          <w:p>
            <w:pPr>
              <w:pStyle w:val="Compact"/>
            </w:pPr>
            <w:r>
              <w:t xml:space="preserve">К1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СЗИ</w:t>
            </w:r>
          </w:p>
        </w:tc>
        <w:tc>
          <w:tcPr/>
          <w:p>
            <w:pPr>
              <w:pStyle w:val="Compact"/>
            </w:pPr>
            <w:r>
              <w:t xml:space="preserve">Сертифицированные ФСТЭК / ФСБ</w:t>
            </w:r>
          </w:p>
        </w:tc>
      </w:tr>
    </w:tbl>
    <w:bookmarkEnd w:id="9"/>
    <w:bookmarkStart w:id="12" w:name="модель-угроз"/>
    <w:p>
      <w:pPr>
        <w:pStyle w:val="Heading2"/>
      </w:pPr>
      <w:r>
        <w:t xml:space="preserve">2. Модель угроз</w:t>
      </w:r>
    </w:p>
    <w:p>
      <w:pPr>
        <w:pStyle w:val="FirstParagraph"/>
      </w:pPr>
      <w:r>
        <w:t xml:space="preserve">Модель угроз построена в соответствии с банком данных угроз ФСТЭК России (БДУ ФСТЭК) и Методическим документом ФСТЭК «Методика оценки угроз безопасности информации» (2021 г.).</w:t>
      </w:r>
    </w:p>
    <w:bookmarkStart w:id="10" w:name="ключевые-группы-угроз"/>
    <w:p>
      <w:pPr>
        <w:pStyle w:val="Heading3"/>
      </w:pPr>
      <w:r>
        <w:t xml:space="preserve">Ключевые группы угроз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Внешние нарушители (high motivation)</w:t>
      </w:r>
      <w:r>
        <w:t xml:space="preserve">: APT-группы, нацеленные на финансовую и государственную инфраструктуру РФ. Цели: похищение средств, нарушение работы платформы, компрометация эмиссионного контура.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Внутренние нарушители</w:t>
      </w:r>
      <w:r>
        <w:t xml:space="preserve">: недобросовестные сотрудники оператора, подрядчиков, партнёров.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Социальная инженерия</w:t>
      </w:r>
      <w:r>
        <w:t xml:space="preserve">: фишинг сотрудников оператора и пользователей платформы.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Атаки на цепочку поставок (supply chain)</w:t>
      </w:r>
      <w:r>
        <w:t xml:space="preserve">: компрометация СЗИ, библиотек, обновлений.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DDoS-атаки</w:t>
      </w:r>
      <w:r>
        <w:t xml:space="preserve">: на публичные интерфейсы и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Атаки на криптографию</w:t>
      </w:r>
      <w:r>
        <w:t xml:space="preserve">: попытки компрометации ключей, перехвата сессий.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Физические угрозы</w:t>
      </w:r>
      <w:r>
        <w:t xml:space="preserve">: проникновение в ЦОД, кража носителей.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Угрозы доступности</w:t>
      </w:r>
      <w:r>
        <w:t xml:space="preserve">: отказы железа, ошибки эксплуатации.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Угрозы целостности данных</w:t>
      </w:r>
      <w:r>
        <w:t xml:space="preserve">: модификация записей в БД и реестрах.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Угрозы конфиденциальности</w:t>
      </w:r>
      <w:r>
        <w:t xml:space="preserve">: утечки ПДн и финансовых сведений.</w:t>
      </w:r>
    </w:p>
    <w:bookmarkEnd w:id="10"/>
    <w:bookmarkStart w:id="11" w:name="уровни-ущерба"/>
    <w:p>
      <w:pPr>
        <w:pStyle w:val="Heading3"/>
      </w:pPr>
      <w:r>
        <w:t xml:space="preserve">Уровни ущерба</w:t>
      </w:r>
    </w:p>
    <w:p>
      <w:pPr>
        <w:pStyle w:val="Compact"/>
        <w:numPr>
          <w:ilvl w:val="0"/>
          <w:numId w:val="1002"/>
        </w:numPr>
      </w:pPr>
      <w:r>
        <w:t xml:space="preserve">Уровень I (катастрофический): компрометация эмиссионного контура; недопустим, требует максимальной защиты.</w:t>
      </w:r>
    </w:p>
    <w:p>
      <w:pPr>
        <w:pStyle w:val="Compact"/>
        <w:numPr>
          <w:ilvl w:val="0"/>
          <w:numId w:val="1002"/>
        </w:numPr>
      </w:pPr>
      <w:r>
        <w:t xml:space="preserve">Уровень II (тяжёлый): массовая утечка ПДн; недопустим.</w:t>
      </w:r>
    </w:p>
    <w:p>
      <w:pPr>
        <w:pStyle w:val="Compact"/>
        <w:numPr>
          <w:ilvl w:val="0"/>
          <w:numId w:val="1002"/>
        </w:numPr>
      </w:pPr>
      <w:r>
        <w:t xml:space="preserve">Уровень III (умеренный): отказ единичного компонента; восстанавливается в RTO.</w:t>
      </w:r>
    </w:p>
    <w:bookmarkEnd w:id="11"/>
    <w:bookmarkEnd w:id="12"/>
    <w:bookmarkStart w:id="19" w:name="система-защиты-информации-сзи"/>
    <w:p>
      <w:pPr>
        <w:pStyle w:val="Heading2"/>
      </w:pPr>
      <w:r>
        <w:t xml:space="preserve">3. Система защиты информации (СЗИ)</w:t>
      </w:r>
    </w:p>
    <w:bookmarkStart w:id="13" w:name="защита-периметра"/>
    <w:p>
      <w:pPr>
        <w:pStyle w:val="Heading3"/>
      </w:pPr>
      <w:r>
        <w:t xml:space="preserve">3.1. Защита периметра</w:t>
      </w:r>
    </w:p>
    <w:p>
      <w:pPr>
        <w:pStyle w:val="Compact"/>
        <w:numPr>
          <w:ilvl w:val="0"/>
          <w:numId w:val="1003"/>
        </w:numPr>
      </w:pPr>
      <w:r>
        <w:t xml:space="preserve">NGFW отечественной разработки (UserGate / SolarSpace).</w:t>
      </w:r>
    </w:p>
    <w:p>
      <w:pPr>
        <w:pStyle w:val="Compact"/>
        <w:numPr>
          <w:ilvl w:val="0"/>
          <w:numId w:val="1003"/>
        </w:numPr>
      </w:pPr>
      <w:r>
        <w:t xml:space="preserve">WAF (PT Application Firewall).</w:t>
      </w:r>
    </w:p>
    <w:p>
      <w:pPr>
        <w:pStyle w:val="Compact"/>
        <w:numPr>
          <w:ilvl w:val="0"/>
          <w:numId w:val="1003"/>
        </w:numPr>
      </w:pPr>
      <w:r>
        <w:t xml:space="preserve">Anti-DDoS (Qrator Labs Russia / Stormwall).</w:t>
      </w:r>
    </w:p>
    <w:p>
      <w:pPr>
        <w:pStyle w:val="Compact"/>
        <w:numPr>
          <w:ilvl w:val="0"/>
          <w:numId w:val="1003"/>
        </w:numPr>
      </w:pPr>
      <w:r>
        <w:t xml:space="preserve">Anti-bot защита.</w:t>
      </w:r>
    </w:p>
    <w:p>
      <w:pPr>
        <w:pStyle w:val="Compact"/>
        <w:numPr>
          <w:ilvl w:val="0"/>
          <w:numId w:val="1003"/>
        </w:numPr>
      </w:pPr>
      <w:r>
        <w:t xml:space="preserve">Сегментация сети по zero-trust принципам.</w:t>
      </w:r>
    </w:p>
    <w:bookmarkEnd w:id="13"/>
    <w:bookmarkStart w:id="14" w:name="защита-рабочих-станций-администраторов"/>
    <w:p>
      <w:pPr>
        <w:pStyle w:val="Heading3"/>
      </w:pPr>
      <w:r>
        <w:t xml:space="preserve">3.2. Защита рабочих станций администраторов</w:t>
      </w:r>
    </w:p>
    <w:p>
      <w:pPr>
        <w:pStyle w:val="Compact"/>
        <w:numPr>
          <w:ilvl w:val="0"/>
          <w:numId w:val="1004"/>
        </w:numPr>
      </w:pPr>
      <w:r>
        <w:t xml:space="preserve">EDR (Kaspersky EDR Expert / R-Vision EDR).</w:t>
      </w:r>
    </w:p>
    <w:p>
      <w:pPr>
        <w:pStyle w:val="Compact"/>
        <w:numPr>
          <w:ilvl w:val="0"/>
          <w:numId w:val="1004"/>
        </w:numPr>
      </w:pPr>
      <w:r>
        <w:t xml:space="preserve">DLP (Solar Dozor / InfoWatch).</w:t>
      </w:r>
    </w:p>
    <w:p>
      <w:pPr>
        <w:pStyle w:val="Compact"/>
        <w:numPr>
          <w:ilvl w:val="0"/>
          <w:numId w:val="1004"/>
        </w:numPr>
      </w:pPr>
      <w:r>
        <w:t xml:space="preserve">Контроль съёмных носителей (с запретом по умолчанию).</w:t>
      </w:r>
    </w:p>
    <w:p>
      <w:pPr>
        <w:pStyle w:val="Compact"/>
        <w:numPr>
          <w:ilvl w:val="0"/>
          <w:numId w:val="1004"/>
        </w:numPr>
      </w:pPr>
      <w:r>
        <w:t xml:space="preserve">Двухфакторная аутентификация для всех админ-доступов.</w:t>
      </w:r>
    </w:p>
    <w:bookmarkEnd w:id="14"/>
    <w:bookmarkStart w:id="15" w:name="защита-данных"/>
    <w:p>
      <w:pPr>
        <w:pStyle w:val="Heading3"/>
      </w:pPr>
      <w:r>
        <w:t xml:space="preserve">3.3. Защита данных</w:t>
      </w:r>
    </w:p>
    <w:p>
      <w:pPr>
        <w:pStyle w:val="Compact"/>
        <w:numPr>
          <w:ilvl w:val="0"/>
          <w:numId w:val="1005"/>
        </w:numPr>
      </w:pPr>
      <w:r>
        <w:t xml:space="preserve">Шифрование данных at rest (КриптоПро Disk).</w:t>
      </w:r>
    </w:p>
    <w:p>
      <w:pPr>
        <w:pStyle w:val="Compact"/>
        <w:numPr>
          <w:ilvl w:val="0"/>
          <w:numId w:val="1005"/>
        </w:numPr>
      </w:pPr>
      <w:r>
        <w:t xml:space="preserve">Шифрование данных in transit (ГОСТ TLS, ВипНет).</w:t>
      </w:r>
    </w:p>
    <w:p>
      <w:pPr>
        <w:pStyle w:val="Compact"/>
        <w:numPr>
          <w:ilvl w:val="0"/>
          <w:numId w:val="1005"/>
        </w:numPr>
      </w:pPr>
      <w:r>
        <w:t xml:space="preserve">Маскирование ПДн в нерабочих средах.</w:t>
      </w:r>
    </w:p>
    <w:p>
      <w:pPr>
        <w:pStyle w:val="Compact"/>
        <w:numPr>
          <w:ilvl w:val="0"/>
          <w:numId w:val="1005"/>
        </w:numPr>
      </w:pPr>
      <w:r>
        <w:t xml:space="preserve">Tokenization чувствительных полей (БД).</w:t>
      </w:r>
    </w:p>
    <w:p>
      <w:pPr>
        <w:pStyle w:val="Compact"/>
        <w:numPr>
          <w:ilvl w:val="0"/>
          <w:numId w:val="1005"/>
        </w:numPr>
      </w:pPr>
      <w:r>
        <w:t xml:space="preserve">Backup на шифрованных носителях.</w:t>
      </w:r>
    </w:p>
    <w:bookmarkEnd w:id="15"/>
    <w:bookmarkStart w:id="16" w:name="защита-приложений"/>
    <w:p>
      <w:pPr>
        <w:pStyle w:val="Heading3"/>
      </w:pPr>
      <w:r>
        <w:t xml:space="preserve">3.4. Защита приложений</w:t>
      </w:r>
    </w:p>
    <w:p>
      <w:pPr>
        <w:pStyle w:val="Compact"/>
        <w:numPr>
          <w:ilvl w:val="0"/>
          <w:numId w:val="1006"/>
        </w:numPr>
      </w:pPr>
      <w:r>
        <w:t xml:space="preserve">Безопасная разработка (Secure SDLC):</w:t>
      </w:r>
    </w:p>
    <w:p>
      <w:pPr>
        <w:pStyle w:val="Compact"/>
        <w:numPr>
          <w:ilvl w:val="1"/>
          <w:numId w:val="1007"/>
        </w:numPr>
      </w:pPr>
      <w:r>
        <w:t xml:space="preserve">SAST на каждом коммите;</w:t>
      </w:r>
    </w:p>
    <w:p>
      <w:pPr>
        <w:pStyle w:val="Compact"/>
        <w:numPr>
          <w:ilvl w:val="1"/>
          <w:numId w:val="1007"/>
        </w:numPr>
      </w:pPr>
      <w:r>
        <w:t xml:space="preserve">DAST еженедельно;</w:t>
      </w:r>
    </w:p>
    <w:p>
      <w:pPr>
        <w:pStyle w:val="Compact"/>
        <w:numPr>
          <w:ilvl w:val="1"/>
          <w:numId w:val="1007"/>
        </w:numPr>
      </w:pPr>
      <w:r>
        <w:t xml:space="preserve">SCA (software composition analysis);</w:t>
      </w:r>
    </w:p>
    <w:p>
      <w:pPr>
        <w:pStyle w:val="Compact"/>
        <w:numPr>
          <w:ilvl w:val="1"/>
          <w:numId w:val="1007"/>
        </w:numPr>
      </w:pPr>
      <w:r>
        <w:t xml:space="preserve">Пентест по релизам.</w:t>
      </w:r>
    </w:p>
    <w:p>
      <w:pPr>
        <w:pStyle w:val="Compact"/>
        <w:numPr>
          <w:ilvl w:val="0"/>
          <w:numId w:val="1006"/>
        </w:numPr>
      </w:pPr>
      <w:r>
        <w:t xml:space="preserve">Подпись релизов УКЭП.</w:t>
      </w:r>
    </w:p>
    <w:p>
      <w:pPr>
        <w:pStyle w:val="Compact"/>
        <w:numPr>
          <w:ilvl w:val="0"/>
          <w:numId w:val="1006"/>
        </w:numPr>
      </w:pPr>
      <w:r>
        <w:t xml:space="preserve">Изолированные runtime-среды (gVisor / Kata Containers).</w:t>
      </w:r>
    </w:p>
    <w:bookmarkEnd w:id="16"/>
    <w:bookmarkStart w:id="17" w:name="управление-доступом"/>
    <w:p>
      <w:pPr>
        <w:pStyle w:val="Heading3"/>
      </w:pPr>
      <w:r>
        <w:t xml:space="preserve">3.5. Управление доступом</w:t>
      </w:r>
    </w:p>
    <w:p>
      <w:pPr>
        <w:pStyle w:val="Compact"/>
        <w:numPr>
          <w:ilvl w:val="0"/>
          <w:numId w:val="1008"/>
        </w:numPr>
      </w:pPr>
      <w:r>
        <w:t xml:space="preserve">Принцип минимальных привилегий.</w:t>
      </w:r>
    </w:p>
    <w:p>
      <w:pPr>
        <w:pStyle w:val="Compact"/>
        <w:numPr>
          <w:ilvl w:val="0"/>
          <w:numId w:val="1008"/>
        </w:numPr>
      </w:pPr>
      <w:r>
        <w:t xml:space="preserve">RBAC + ABAC на уровне сервисов.</w:t>
      </w:r>
    </w:p>
    <w:p>
      <w:pPr>
        <w:pStyle w:val="Compact"/>
        <w:numPr>
          <w:ilvl w:val="0"/>
          <w:numId w:val="1008"/>
        </w:numPr>
      </w:pPr>
      <w:r>
        <w:t xml:space="preserve">Двухфакторная аутентификация для всех сотрудников.</w:t>
      </w:r>
    </w:p>
    <w:p>
      <w:pPr>
        <w:pStyle w:val="Compact"/>
        <w:numPr>
          <w:ilvl w:val="0"/>
          <w:numId w:val="1008"/>
        </w:numPr>
      </w:pPr>
      <w:r>
        <w:t xml:space="preserve">Privileged Access Management (PAM) для администраторов.</w:t>
      </w:r>
    </w:p>
    <w:p>
      <w:pPr>
        <w:pStyle w:val="Compact"/>
        <w:numPr>
          <w:ilvl w:val="0"/>
          <w:numId w:val="1008"/>
        </w:numPr>
      </w:pPr>
      <w:r>
        <w:t xml:space="preserve">Журналирование всех привилегированных операций.</w:t>
      </w:r>
    </w:p>
    <w:bookmarkEnd w:id="17"/>
    <w:bookmarkStart w:id="18" w:name="криптографические-компоненты"/>
    <w:p>
      <w:pPr>
        <w:pStyle w:val="Heading3"/>
      </w:pPr>
      <w:r>
        <w:t xml:space="preserve">3.6. Криптографические компоненты</w:t>
      </w:r>
    </w:p>
    <w:p>
      <w:pPr>
        <w:pStyle w:val="Compact"/>
        <w:numPr>
          <w:ilvl w:val="0"/>
          <w:numId w:val="1009"/>
        </w:numPr>
      </w:pPr>
      <w:r>
        <w:t xml:space="preserve">HSM КриптоПро / ВипНет — для хранения корневых ключей.</w:t>
      </w:r>
    </w:p>
    <w:p>
      <w:pPr>
        <w:pStyle w:val="Compact"/>
        <w:numPr>
          <w:ilvl w:val="0"/>
          <w:numId w:val="1009"/>
        </w:numPr>
      </w:pPr>
      <w:r>
        <w:t xml:space="preserve">Регулярная ротация ключей (минимум раз в 12 месяцев для рабочих, каждые 5 лет для корневых).</w:t>
      </w:r>
    </w:p>
    <w:p>
      <w:pPr>
        <w:pStyle w:val="Compact"/>
        <w:numPr>
          <w:ilvl w:val="0"/>
          <w:numId w:val="1009"/>
        </w:numPr>
      </w:pPr>
      <w:r>
        <w:t xml:space="preserve">Аппаратные токены УКЭП для сотрудников.</w:t>
      </w:r>
    </w:p>
    <w:bookmarkEnd w:id="18"/>
    <w:bookmarkEnd w:id="19"/>
    <w:bookmarkStart w:id="26" w:name="соответствие-нормативным-требованиям"/>
    <w:p>
      <w:pPr>
        <w:pStyle w:val="Heading2"/>
      </w:pPr>
      <w:r>
        <w:t xml:space="preserve">4. Соответствие нормативным требованиям</w:t>
      </w:r>
    </w:p>
    <w:bookmarkStart w:id="20" w:name="фз-187-о-безопасности-кии"/>
    <w:p>
      <w:pPr>
        <w:pStyle w:val="Heading3"/>
      </w:pPr>
      <w:r>
        <w:t xml:space="preserve">4.1. ФЗ-187 «О безопасности КИИ»</w:t>
      </w:r>
    </w:p>
    <w:p>
      <w:pPr>
        <w:pStyle w:val="Compact"/>
        <w:numPr>
          <w:ilvl w:val="0"/>
          <w:numId w:val="1010"/>
        </w:numPr>
      </w:pPr>
      <w:r>
        <w:t xml:space="preserve">Категорирование объекта КИИ проведено в установленном порядке.</w:t>
      </w:r>
    </w:p>
    <w:p>
      <w:pPr>
        <w:pStyle w:val="Compact"/>
        <w:numPr>
          <w:ilvl w:val="0"/>
          <w:numId w:val="1010"/>
        </w:numPr>
      </w:pPr>
      <w:r>
        <w:t xml:space="preserve">Уведомление направлено в ФСТЭК.</w:t>
      </w:r>
    </w:p>
    <w:p>
      <w:pPr>
        <w:pStyle w:val="Compact"/>
        <w:numPr>
          <w:ilvl w:val="0"/>
          <w:numId w:val="1010"/>
        </w:numPr>
      </w:pPr>
      <w:r>
        <w:t xml:space="preserve">Подключение к ГосСОПКА — через защищённый канал.</w:t>
      </w:r>
    </w:p>
    <w:p>
      <w:pPr>
        <w:pStyle w:val="Compact"/>
        <w:numPr>
          <w:ilvl w:val="0"/>
          <w:numId w:val="1010"/>
        </w:numPr>
      </w:pPr>
      <w:r>
        <w:t xml:space="preserve">Назначен ответственный за обеспечение безопасности значимых объектов КИИ.</w:t>
      </w:r>
    </w:p>
    <w:p>
      <w:pPr>
        <w:pStyle w:val="Compact"/>
        <w:numPr>
          <w:ilvl w:val="0"/>
          <w:numId w:val="1010"/>
        </w:numPr>
      </w:pPr>
      <w:r>
        <w:t xml:space="preserve">Регулярное взаимодействие с НКЦКИ.</w:t>
      </w:r>
    </w:p>
    <w:bookmarkEnd w:id="20"/>
    <w:bookmarkStart w:id="21" w:name="указание-банка-россии-6635-у"/>
    <w:p>
      <w:pPr>
        <w:pStyle w:val="Heading3"/>
      </w:pPr>
      <w:r>
        <w:t xml:space="preserve">4.2. Указание Банка России №6635-У</w:t>
      </w:r>
    </w:p>
    <w:p>
      <w:pPr>
        <w:pStyle w:val="Compact"/>
        <w:numPr>
          <w:ilvl w:val="0"/>
          <w:numId w:val="1011"/>
        </w:numPr>
      </w:pPr>
      <w:r>
        <w:t xml:space="preserve">Регламент обработки инцидентов ИБ.</w:t>
      </w:r>
    </w:p>
    <w:p>
      <w:pPr>
        <w:pStyle w:val="Compact"/>
        <w:numPr>
          <w:ilvl w:val="0"/>
          <w:numId w:val="1011"/>
        </w:numPr>
      </w:pPr>
      <w:r>
        <w:t xml:space="preserve">Уведомление Банка России в установленные сроки (24 ч / 72 ч / 30 дней в зависимости от категории).</w:t>
      </w:r>
    </w:p>
    <w:p>
      <w:pPr>
        <w:pStyle w:val="Compact"/>
        <w:numPr>
          <w:ilvl w:val="0"/>
          <w:numId w:val="1011"/>
        </w:numPr>
      </w:pPr>
      <w:r>
        <w:t xml:space="preserve">Журнал инцидентов с хранением не менее 5 лет.</w:t>
      </w:r>
    </w:p>
    <w:bookmarkEnd w:id="21"/>
    <w:bookmarkStart w:id="22" w:name="приказ-фстэк-239"/>
    <w:p>
      <w:pPr>
        <w:pStyle w:val="Heading3"/>
      </w:pPr>
      <w:r>
        <w:t xml:space="preserve">4.3. Приказ ФСТЭК №239</w:t>
      </w:r>
    </w:p>
    <w:p>
      <w:pPr>
        <w:pStyle w:val="Compact"/>
        <w:numPr>
          <w:ilvl w:val="0"/>
          <w:numId w:val="1012"/>
        </w:numPr>
      </w:pPr>
      <w:r>
        <w:t xml:space="preserve">Применение СЗИ для значимых объектов КИИ 1 категории.</w:t>
      </w:r>
    </w:p>
    <w:p>
      <w:pPr>
        <w:pStyle w:val="Compact"/>
        <w:numPr>
          <w:ilvl w:val="0"/>
          <w:numId w:val="1012"/>
        </w:numPr>
      </w:pPr>
      <w:r>
        <w:t xml:space="preserve">Регулярные проверки соответствия.</w:t>
      </w:r>
    </w:p>
    <w:bookmarkEnd w:id="22"/>
    <w:bookmarkStart w:id="23" w:name="приказ-фстэк-17-к1-государственная-ис"/>
    <w:p>
      <w:pPr>
        <w:pStyle w:val="Heading3"/>
      </w:pPr>
      <w:r>
        <w:t xml:space="preserve">4.4. Приказ ФСТЭК №17 (К1 — государственная ИС)</w:t>
      </w:r>
    </w:p>
    <w:p>
      <w:pPr>
        <w:pStyle w:val="Compact"/>
        <w:numPr>
          <w:ilvl w:val="0"/>
          <w:numId w:val="1013"/>
        </w:numPr>
      </w:pPr>
      <w:r>
        <w:t xml:space="preserve">Применение СЗИ от НСД, контроль действий администраторов.</w:t>
      </w:r>
    </w:p>
    <w:p>
      <w:pPr>
        <w:pStyle w:val="Compact"/>
        <w:numPr>
          <w:ilvl w:val="0"/>
          <w:numId w:val="1013"/>
        </w:numPr>
      </w:pPr>
      <w:r>
        <w:t xml:space="preserve">Регулярная аттестация ИС.</w:t>
      </w:r>
    </w:p>
    <w:bookmarkEnd w:id="23"/>
    <w:bookmarkStart w:id="24" w:name="приказ-фстэк-21-уз-1-испдн"/>
    <w:p>
      <w:pPr>
        <w:pStyle w:val="Heading3"/>
      </w:pPr>
      <w:r>
        <w:t xml:space="preserve">4.5. Приказ ФСТЭК №21 (УЗ-1 ИСПДн)</w:t>
      </w:r>
    </w:p>
    <w:p>
      <w:pPr>
        <w:pStyle w:val="Compact"/>
        <w:numPr>
          <w:ilvl w:val="0"/>
          <w:numId w:val="1014"/>
        </w:numPr>
      </w:pPr>
      <w:r>
        <w:t xml:space="preserve">Соответствие требованиям к защите ПДн.</w:t>
      </w:r>
    </w:p>
    <w:bookmarkEnd w:id="24"/>
    <w:bookmarkStart w:id="25" w:name="гост-р-57580.1-уровень-4"/>
    <w:p>
      <w:pPr>
        <w:pStyle w:val="Heading3"/>
      </w:pPr>
      <w:r>
        <w:t xml:space="preserve">4.6. ГОСТ Р 57580.1 (уровень 4)</w:t>
      </w:r>
    </w:p>
    <w:p>
      <w:pPr>
        <w:pStyle w:val="Compact"/>
        <w:numPr>
          <w:ilvl w:val="0"/>
          <w:numId w:val="1015"/>
        </w:numPr>
      </w:pPr>
      <w:r>
        <w:t xml:space="preserve">Реализация всех 8 направлений защиты.</w:t>
      </w:r>
    </w:p>
    <w:p>
      <w:pPr>
        <w:pStyle w:val="Compact"/>
        <w:numPr>
          <w:ilvl w:val="0"/>
          <w:numId w:val="1015"/>
        </w:numPr>
      </w:pPr>
      <w:r>
        <w:t xml:space="preserve">Регулярная оценка соответствия по ГОСТ Р 57580.2 внешним аудитором.</w:t>
      </w:r>
    </w:p>
    <w:bookmarkEnd w:id="25"/>
    <w:bookmarkEnd w:id="26"/>
    <w:bookmarkStart w:id="31" w:name="операционная-модель-иб"/>
    <w:p>
      <w:pPr>
        <w:pStyle w:val="Heading2"/>
      </w:pPr>
      <w:r>
        <w:t xml:space="preserve">5. Операционная модель ИБ</w:t>
      </w:r>
    </w:p>
    <w:bookmarkStart w:id="27" w:name="soc-247"/>
    <w:p>
      <w:pPr>
        <w:pStyle w:val="Heading3"/>
      </w:pPr>
      <w:r>
        <w:t xml:space="preserve">5.1. SOC 24×7</w:t>
      </w:r>
    </w:p>
    <w:p>
      <w:pPr>
        <w:pStyle w:val="Compact"/>
        <w:numPr>
          <w:ilvl w:val="0"/>
          <w:numId w:val="1016"/>
        </w:numPr>
      </w:pPr>
      <w:r>
        <w:t xml:space="preserve">L1 — мониторинг и первичная классификация.</w:t>
      </w:r>
    </w:p>
    <w:p>
      <w:pPr>
        <w:pStyle w:val="Compact"/>
        <w:numPr>
          <w:ilvl w:val="0"/>
          <w:numId w:val="1016"/>
        </w:numPr>
      </w:pPr>
      <w:r>
        <w:t xml:space="preserve">L2 — реагирование на инциденты, контейнмент.</w:t>
      </w:r>
    </w:p>
    <w:p>
      <w:pPr>
        <w:pStyle w:val="Compact"/>
        <w:numPr>
          <w:ilvl w:val="0"/>
          <w:numId w:val="1016"/>
        </w:numPr>
      </w:pPr>
      <w:r>
        <w:t xml:space="preserve">L3 — расследование, root-cause analysis, остановка атаки.</w:t>
      </w:r>
    </w:p>
    <w:p>
      <w:pPr>
        <w:pStyle w:val="Compact"/>
        <w:numPr>
          <w:ilvl w:val="0"/>
          <w:numId w:val="1016"/>
        </w:numPr>
      </w:pPr>
      <w:r>
        <w:t xml:space="preserve">Threat hunting — проактивный поиск угроз.</w:t>
      </w:r>
    </w:p>
    <w:bookmarkEnd w:id="27"/>
    <w:bookmarkStart w:id="28" w:name="threat-intelligence"/>
    <w:p>
      <w:pPr>
        <w:pStyle w:val="Heading3"/>
      </w:pPr>
      <w:r>
        <w:t xml:space="preserve">5.2. Threat Intelligence</w:t>
      </w:r>
    </w:p>
    <w:p>
      <w:pPr>
        <w:pStyle w:val="Compact"/>
        <w:numPr>
          <w:ilvl w:val="0"/>
          <w:numId w:val="1017"/>
        </w:numPr>
      </w:pPr>
      <w:r>
        <w:t xml:space="preserve">Подключение к BDU ФСТЭК.</w:t>
      </w:r>
    </w:p>
    <w:p>
      <w:pPr>
        <w:pStyle w:val="Compact"/>
        <w:numPr>
          <w:ilvl w:val="0"/>
          <w:numId w:val="1017"/>
        </w:numPr>
      </w:pPr>
      <w:r>
        <w:t xml:space="preserve">Подписка на отчёты НКЦКИ и Банка России.</w:t>
      </w:r>
    </w:p>
    <w:p>
      <w:pPr>
        <w:pStyle w:val="Compact"/>
        <w:numPr>
          <w:ilvl w:val="0"/>
          <w:numId w:val="1017"/>
        </w:numPr>
      </w:pPr>
      <w:r>
        <w:t xml:space="preserve">Внутренний TI-сервис (R-Vision TIP / отечественный аналог).</w:t>
      </w:r>
    </w:p>
    <w:bookmarkEnd w:id="28"/>
    <w:bookmarkStart w:id="29" w:name="управление-уязвимостями"/>
    <w:p>
      <w:pPr>
        <w:pStyle w:val="Heading3"/>
      </w:pPr>
      <w:r>
        <w:t xml:space="preserve">5.3. Управление уязвимостями</w:t>
      </w:r>
    </w:p>
    <w:p>
      <w:pPr>
        <w:pStyle w:val="Compact"/>
        <w:numPr>
          <w:ilvl w:val="0"/>
          <w:numId w:val="1018"/>
        </w:numPr>
      </w:pPr>
      <w:r>
        <w:t xml:space="preserve">Сканирование инфраструктуры — еженедельно.</w:t>
      </w:r>
    </w:p>
    <w:p>
      <w:pPr>
        <w:pStyle w:val="Compact"/>
        <w:numPr>
          <w:ilvl w:val="0"/>
          <w:numId w:val="1018"/>
        </w:numPr>
      </w:pPr>
      <w:r>
        <w:t xml:space="preserve">Сканирование приложений (DAST) — еженедельно.</w:t>
      </w:r>
    </w:p>
    <w:p>
      <w:pPr>
        <w:pStyle w:val="Compact"/>
        <w:numPr>
          <w:ilvl w:val="0"/>
          <w:numId w:val="1018"/>
        </w:numPr>
      </w:pPr>
      <w:r>
        <w:t xml:space="preserve">Пентест внешний — ежегодно аккредитованной лабораторией.</w:t>
      </w:r>
    </w:p>
    <w:p>
      <w:pPr>
        <w:pStyle w:val="Compact"/>
        <w:numPr>
          <w:ilvl w:val="0"/>
          <w:numId w:val="1018"/>
        </w:numPr>
      </w:pPr>
      <w:r>
        <w:t xml:space="preserve">Пентест внутренний — раз в полугодие силами Red Team.</w:t>
      </w:r>
    </w:p>
    <w:bookmarkEnd w:id="29"/>
    <w:bookmarkStart w:id="30" w:name="аудит-и-compliance"/>
    <w:p>
      <w:pPr>
        <w:pStyle w:val="Heading3"/>
      </w:pPr>
      <w:r>
        <w:t xml:space="preserve">5.4. Аудит и compliance</w:t>
      </w:r>
    </w:p>
    <w:p>
      <w:pPr>
        <w:pStyle w:val="Compact"/>
        <w:numPr>
          <w:ilvl w:val="0"/>
          <w:numId w:val="1019"/>
        </w:numPr>
      </w:pPr>
      <w:r>
        <w:t xml:space="preserve">Ежегодный внутренний аудит ИБ.</w:t>
      </w:r>
    </w:p>
    <w:p>
      <w:pPr>
        <w:pStyle w:val="Compact"/>
        <w:numPr>
          <w:ilvl w:val="0"/>
          <w:numId w:val="1019"/>
        </w:numPr>
      </w:pPr>
      <w:r>
        <w:t xml:space="preserve">Ежегодный внешний аудит соответствия ГОСТ Р 57580.1.</w:t>
      </w:r>
    </w:p>
    <w:p>
      <w:pPr>
        <w:pStyle w:val="Compact"/>
        <w:numPr>
          <w:ilvl w:val="0"/>
          <w:numId w:val="1019"/>
        </w:numPr>
      </w:pPr>
      <w:r>
        <w:t xml:space="preserve">Регулярные проверки регуляторов (ЦБ, ФСТЭК, ФСБ, Роскомнадзор).</w:t>
      </w:r>
    </w:p>
    <w:bookmarkEnd w:id="30"/>
    <w:bookmarkEnd w:id="31"/>
    <w:bookmarkStart w:id="34" w:name="план-реагирования-на-инциденты"/>
    <w:p>
      <w:pPr>
        <w:pStyle w:val="Heading2"/>
      </w:pPr>
      <w:r>
        <w:t xml:space="preserve">6. План реагирования на инциденты</w:t>
      </w:r>
    </w:p>
    <w:bookmarkStart w:id="32" w:name="категории-инцидентов"/>
    <w:p>
      <w:pPr>
        <w:pStyle w:val="Heading3"/>
      </w:pPr>
      <w:r>
        <w:t xml:space="preserve">6.1. Категории инцидентов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Категория А (критический)</w:t>
      </w:r>
      <w:r>
        <w:t xml:space="preserve">: компрометация эмиссионного контура, ключей УКЭП, массовая утечка ПДн.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Категория B (высокий)</w:t>
      </w:r>
      <w:r>
        <w:t xml:space="preserve">: компрометация отдельного сервиса, попытка несанкционированного выпуска ЦФА.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Категория C (средний)</w:t>
      </w:r>
      <w:r>
        <w:t xml:space="preserve">: подозрительная активность, единичные инциденты.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Категория D (низкий)</w:t>
      </w:r>
      <w:r>
        <w:t xml:space="preserve">: фоновые события.</w:t>
      </w:r>
    </w:p>
    <w:bookmarkEnd w:id="32"/>
    <w:bookmarkStart w:id="33" w:name="регламент-реагирования"/>
    <w:p>
      <w:pPr>
        <w:pStyle w:val="Heading3"/>
      </w:pPr>
      <w:r>
        <w:t xml:space="preserve">6.2. Регламент реагирования</w:t>
      </w:r>
    </w:p>
    <w:p>
      <w:pPr>
        <w:pStyle w:val="Compact"/>
        <w:numPr>
          <w:ilvl w:val="0"/>
          <w:numId w:val="1021"/>
        </w:numPr>
      </w:pPr>
      <w:r>
        <w:t xml:space="preserve">Обнаружение → классификация (5 мин).</w:t>
      </w:r>
    </w:p>
    <w:p>
      <w:pPr>
        <w:pStyle w:val="Compact"/>
        <w:numPr>
          <w:ilvl w:val="0"/>
          <w:numId w:val="1021"/>
        </w:numPr>
      </w:pPr>
      <w:r>
        <w:t xml:space="preserve">Уведомление руководства SOC (10 мин).</w:t>
      </w:r>
    </w:p>
    <w:p>
      <w:pPr>
        <w:pStyle w:val="Compact"/>
        <w:numPr>
          <w:ilvl w:val="0"/>
          <w:numId w:val="1021"/>
        </w:numPr>
      </w:pPr>
      <w:r>
        <w:t xml:space="preserve">Контейнмент (15 мин для критичных).</w:t>
      </w:r>
    </w:p>
    <w:p>
      <w:pPr>
        <w:pStyle w:val="Compact"/>
        <w:numPr>
          <w:ilvl w:val="0"/>
          <w:numId w:val="1021"/>
        </w:numPr>
      </w:pPr>
      <w:r>
        <w:t xml:space="preserve">Уведомление Банка России и ГосСОПКА (1 ч для критичных).</w:t>
      </w:r>
    </w:p>
    <w:p>
      <w:pPr>
        <w:pStyle w:val="Compact"/>
        <w:numPr>
          <w:ilvl w:val="0"/>
          <w:numId w:val="1021"/>
        </w:numPr>
      </w:pPr>
      <w:r>
        <w:t xml:space="preserve">Расследование и устранение.</w:t>
      </w:r>
    </w:p>
    <w:p>
      <w:pPr>
        <w:pStyle w:val="Compact"/>
        <w:numPr>
          <w:ilvl w:val="0"/>
          <w:numId w:val="1021"/>
        </w:numPr>
      </w:pPr>
      <w:r>
        <w:t xml:space="preserve">Post-mortem и lessons learned.</w:t>
      </w:r>
    </w:p>
    <w:bookmarkEnd w:id="33"/>
    <w:bookmarkEnd w:id="34"/>
    <w:bookmarkStart w:id="37" w:name="защита-персональных-данных"/>
    <w:p>
      <w:pPr>
        <w:pStyle w:val="Heading2"/>
      </w:pPr>
      <w:r>
        <w:t xml:space="preserve">7. Защита персональных данных</w:t>
      </w:r>
    </w:p>
    <w:bookmarkStart w:id="35" w:name="принципы"/>
    <w:p>
      <w:pPr>
        <w:pStyle w:val="Heading3"/>
      </w:pPr>
      <w:r>
        <w:t xml:space="preserve">7.1. Принципы</w:t>
      </w:r>
    </w:p>
    <w:p>
      <w:pPr>
        <w:pStyle w:val="Compact"/>
        <w:numPr>
          <w:ilvl w:val="0"/>
          <w:numId w:val="1022"/>
        </w:numPr>
      </w:pPr>
      <w:r>
        <w:t xml:space="preserve">Privacy by Design.</w:t>
      </w:r>
    </w:p>
    <w:p>
      <w:pPr>
        <w:pStyle w:val="Compact"/>
        <w:numPr>
          <w:ilvl w:val="0"/>
          <w:numId w:val="1022"/>
        </w:numPr>
      </w:pPr>
      <w:r>
        <w:t xml:space="preserve">Минимизация сбора данных.</w:t>
      </w:r>
    </w:p>
    <w:p>
      <w:pPr>
        <w:pStyle w:val="Compact"/>
        <w:numPr>
          <w:ilvl w:val="0"/>
          <w:numId w:val="1022"/>
        </w:numPr>
      </w:pPr>
      <w:r>
        <w:t xml:space="preserve">Согласия пользователей оформляются в ЕСИА с возможностью отзыва.</w:t>
      </w:r>
    </w:p>
    <w:p>
      <w:pPr>
        <w:pStyle w:val="Compact"/>
        <w:numPr>
          <w:ilvl w:val="0"/>
          <w:numId w:val="1022"/>
        </w:numPr>
      </w:pPr>
      <w:r>
        <w:t xml:space="preserve">Право на доступ, исправление, удаление (152-ФЗ).</w:t>
      </w:r>
    </w:p>
    <w:p>
      <w:pPr>
        <w:pStyle w:val="Compact"/>
        <w:numPr>
          <w:ilvl w:val="0"/>
          <w:numId w:val="1022"/>
        </w:numPr>
      </w:pPr>
      <w:r>
        <w:t xml:space="preserve">Передача только в уполномоченные органы.</w:t>
      </w:r>
    </w:p>
    <w:bookmarkEnd w:id="35"/>
    <w:bookmarkStart w:id="36" w:name="локализация"/>
    <w:p>
      <w:pPr>
        <w:pStyle w:val="Heading3"/>
      </w:pPr>
      <w:r>
        <w:t xml:space="preserve">7.2. Локализация</w:t>
      </w:r>
    </w:p>
    <w:p>
      <w:pPr>
        <w:pStyle w:val="Compact"/>
        <w:numPr>
          <w:ilvl w:val="0"/>
          <w:numId w:val="1023"/>
        </w:numPr>
      </w:pPr>
      <w:r>
        <w:t xml:space="preserve">Все ПДн хранятся и обрабатываются исключительно на территории Российской Федерации (152-ФЗ ст. 18).</w:t>
      </w:r>
    </w:p>
    <w:bookmarkEnd w:id="36"/>
    <w:bookmarkEnd w:id="37"/>
    <w:bookmarkStart w:id="38" w:name="регулярные-практики"/>
    <w:p>
      <w:pPr>
        <w:pStyle w:val="Heading2"/>
      </w:pPr>
      <w:r>
        <w:t xml:space="preserve">8. Регулярные практики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Практика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Внешний пентест</w:t>
            </w:r>
          </w:p>
        </w:tc>
        <w:tc>
          <w:tcPr/>
          <w:p>
            <w:pPr>
              <w:pStyle w:val="Compact"/>
            </w:pPr>
            <w:r>
              <w:t xml:space="preserve">ежегодно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Внутренний пентест (Red Team)</w:t>
            </w:r>
          </w:p>
        </w:tc>
        <w:tc>
          <w:tcPr/>
          <w:p>
            <w:pPr>
              <w:pStyle w:val="Compact"/>
            </w:pPr>
            <w:r>
              <w:t xml:space="preserve">раз в 6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DR-учения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Tabletop exercises</w:t>
            </w:r>
          </w:p>
        </w:tc>
        <w:tc>
          <w:tcPr/>
          <w:p>
            <w:pPr>
              <w:pStyle w:val="Compact"/>
            </w:pPr>
            <w:r>
              <w:t xml:space="preserve">раз в 6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соответствия ГОСТ Р 57580.2</w:t>
            </w:r>
          </w:p>
        </w:tc>
        <w:tc>
          <w:tcPr/>
          <w:p>
            <w:pPr>
              <w:pStyle w:val="Compact"/>
            </w:pPr>
            <w:r>
              <w:t xml:space="preserve">ежегодно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 модели угроз</w:t>
            </w:r>
          </w:p>
        </w:tc>
        <w:tc>
          <w:tcPr/>
          <w:p>
            <w:pPr>
              <w:pStyle w:val="Compact"/>
            </w:pPr>
            <w:r>
              <w:t xml:space="preserve">раз в полугодие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 политик ИБ</w:t>
            </w:r>
          </w:p>
        </w:tc>
        <w:tc>
          <w:tcPr/>
          <w:p>
            <w:pPr>
              <w:pStyle w:val="Compact"/>
            </w:pPr>
            <w:r>
              <w:t xml:space="preserve">ежегодно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 персонала ИБ-грамотности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 simulation</w:t>
            </w:r>
          </w:p>
        </w:tc>
        <w:tc>
          <w:tcPr/>
          <w:p>
            <w:pPr>
              <w:pStyle w:val="Compact"/>
            </w:pPr>
            <w:r>
              <w:t xml:space="preserve">ежемесячно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2026-05-23T20:40:13Z</dcterms:created>
  <dcterms:modified xsi:type="dcterms:W3CDTF">2026-05-23T20:40:13Z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