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lt-реестр-цфа-в-цп-рсфср"/>
    <w:p>
      <w:pPr>
        <w:pStyle w:val="Heading1"/>
      </w:pPr>
      <w:r>
        <w:t xml:space="preserve">DLT-реестр ЦФА в ЦП РСФСР</w:t>
      </w:r>
    </w:p>
    <w:p>
      <w:pPr>
        <w:pStyle w:val="FirstParagraph"/>
      </w:pPr>
      <w:r>
        <w:t xml:space="preserve">Документ описывает архитектуру распределённого реестра выпуска и обращения цифровых финансовых активов на базе отечественной DLT-платформы в соответствии с требованиями ФЗ-259, Положений Банка России №779-П и №780-П.</w:t>
      </w:r>
    </w:p>
    <w:p>
      <w:r>
        <w:pict>
          <v:rect style="width:0;height:1.5pt" o:hralign="center" o:hrstd="t" o:hr="t"/>
        </w:pict>
      </w:r>
    </w:p>
    <w:bookmarkStart w:id="9" w:name="технологическая-основа"/>
    <w:p>
      <w:pPr>
        <w:pStyle w:val="Heading2"/>
      </w:pPr>
      <w:r>
        <w:t xml:space="preserve">1. Технологическая основа</w:t>
      </w:r>
    </w:p>
    <w:p>
      <w:pPr>
        <w:pStyle w:val="Compact"/>
        <w:numPr>
          <w:ilvl w:val="0"/>
          <w:numId w:val="1001"/>
        </w:numPr>
      </w:pPr>
      <w:r>
        <w:t xml:space="preserve">Базовая DLT-платформа — российская сертифицированная система класса «Мастерчейн» или эквивалент (конкретный вендор согласуется с Банком России на стадии пилота).</w:t>
      </w:r>
    </w:p>
    <w:p>
      <w:pPr>
        <w:pStyle w:val="Compact"/>
        <w:numPr>
          <w:ilvl w:val="0"/>
          <w:numId w:val="1001"/>
        </w:numPr>
      </w:pPr>
      <w:r>
        <w:t xml:space="preserve">Архитектура реестра —</w:t>
      </w:r>
      <w:r>
        <w:t xml:space="preserve"> </w:t>
      </w:r>
      <w:r>
        <w:rPr>
          <w:b/>
          <w:bCs/>
        </w:rPr>
        <w:t xml:space="preserve">permissioned DLT</w:t>
      </w:r>
      <w:r>
        <w:t xml:space="preserve"> </w:t>
      </w:r>
      <w:r>
        <w:t xml:space="preserve">(закрытый, доверенный реестр с известным составом узлов).</w:t>
      </w:r>
    </w:p>
    <w:p>
      <w:pPr>
        <w:pStyle w:val="Compact"/>
        <w:numPr>
          <w:ilvl w:val="0"/>
          <w:numId w:val="1001"/>
        </w:numPr>
      </w:pPr>
      <w:r>
        <w:t xml:space="preserve">Алгоритм консенсуса — Practical Byzantine Fault Tolerance (PBFT) или его отечественный аналог (RAFT с гарантией финальности).</w:t>
      </w:r>
    </w:p>
    <w:p>
      <w:pPr>
        <w:pStyle w:val="Compact"/>
        <w:numPr>
          <w:ilvl w:val="0"/>
          <w:numId w:val="1001"/>
        </w:numPr>
      </w:pPr>
      <w:r>
        <w:t xml:space="preserve">Криптография: ГОСТ Р 34.10-2012 (подпись), ГОСТ Р 34.11-2012 (хеш).</w:t>
      </w:r>
    </w:p>
    <w:p>
      <w:pPr>
        <w:pStyle w:val="Compact"/>
        <w:numPr>
          <w:ilvl w:val="0"/>
          <w:numId w:val="1001"/>
        </w:numPr>
      </w:pPr>
      <w:r>
        <w:t xml:space="preserve">Финальность транзакции — детерминированная (не вероятностная), что отличает от публичных блокчейнов.</w:t>
      </w:r>
    </w:p>
    <w:bookmarkEnd w:id="9"/>
    <w:bookmarkStart w:id="10" w:name="состав-узлов-реестра"/>
    <w:p>
      <w:pPr>
        <w:pStyle w:val="Heading2"/>
      </w:pPr>
      <w:r>
        <w:t xml:space="preserve">2. Состав узлов реестра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узла</w:t>
            </w:r>
          </w:p>
        </w:tc>
        <w:tc>
          <w:tcPr/>
          <w:p>
            <w:pPr>
              <w:pStyle w:val="Compact"/>
            </w:pPr>
            <w:r>
              <w:t xml:space="preserve">Количество (минимум)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Оператор-узел (с правом записи)</w:t>
            </w:r>
          </w:p>
        </w:tc>
        <w:tc>
          <w:tcPr/>
          <w:p>
            <w:pPr>
              <w:pStyle w:val="Compact"/>
            </w:pPr>
            <w:r>
              <w:t xml:space="preserve">3 (геораспределение по 3 ЦОД)</w:t>
            </w:r>
          </w:p>
        </w:tc>
        <w:tc>
          <w:tcPr/>
          <w:p>
            <w:pPr>
              <w:pStyle w:val="Compact"/>
            </w:pPr>
            <w:r>
              <w:t xml:space="preserve">Оператор ЦП РСФСР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Регулятор-узел (read-only + надзор)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Банк России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Казначейский узел (read + подтверждение целевых операций)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Федеральное казначейство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Партнёрский узел (оценщики, страховые)</w:t>
            </w:r>
          </w:p>
        </w:tc>
        <w:tc>
          <w:tcPr/>
          <w:p>
            <w:pPr>
              <w:pStyle w:val="Compact"/>
            </w:pPr>
            <w:r>
              <w:t xml:space="preserve">2+ (по числу аккредитованных партнёров)</w:t>
            </w:r>
          </w:p>
        </w:tc>
        <w:tc>
          <w:tcPr/>
          <w:p>
            <w:pPr>
              <w:pStyle w:val="Compact"/>
            </w:pPr>
            <w:r>
              <w:t xml:space="preserve">Партнёры</w:t>
            </w:r>
          </w:p>
        </w:tc>
      </w:tr>
    </w:tbl>
    <w:p>
      <w:pPr>
        <w:pStyle w:val="BodyText"/>
      </w:pPr>
      <w:r>
        <w:t xml:space="preserve">Все узлы соединены защищёнными каналами (ВипНет). Состав узлов утверждается Банком России.</w:t>
      </w:r>
    </w:p>
    <w:bookmarkEnd w:id="10"/>
    <w:bookmarkStart w:id="11" w:name="структура-токена-цфа"/>
    <w:p>
      <w:pPr>
        <w:pStyle w:val="Heading2"/>
      </w:pPr>
      <w:r>
        <w:t xml:space="preserve">3. Структура токена ЦФА</w:t>
      </w:r>
    </w:p>
    <w:p>
      <w:pPr>
        <w:pStyle w:val="FirstParagraph"/>
      </w:pPr>
      <w:r>
        <w:t xml:space="preserve">Каждый токен ЦФА — запись с атрибутами: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cfa_id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</w:t>
            </w:r>
            <w:r>
              <w:t xml:space="preserve"> </w:t>
            </w:r>
            <w:r>
              <w:rPr>
                <w:rStyle w:val="VerbatimChar"/>
              </w:rPr>
              <w:t xml:space="preserve">cfa-{hash6}-rsfsr-{year}-{seq}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Идентификатор залогодателя (привязка к ЕСИА).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Идентификатор оператора-эмитента.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cb_holder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Подтверждение приёма Банком России.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treasury_recipient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Идентификатор получателя средств в Федеральном казначействе.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Тип имущества (REAL_ESTATE, VEHICLE, IP, SECURITIES).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asset_ref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Внешний референс на актив (кадастровый номер, VIN, ID Роспатента, ISIN).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valuation</w:t>
            </w:r>
          </w:p>
        </w:tc>
        <w:tc>
          <w:tcPr/>
          <w:p>
            <w:pPr>
              <w:pStyle w:val="Compact"/>
            </w:pPr>
            <w:r>
              <w:t xml:space="preserve">money</w:t>
            </w:r>
          </w:p>
        </w:tc>
        <w:tc>
          <w:tcPr/>
          <w:p>
            <w:pPr>
              <w:pStyle w:val="Compact"/>
            </w:pPr>
            <w:r>
              <w:t xml:space="preserve">Оценочная стоимость, ₽.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nominal</w:t>
            </w:r>
          </w:p>
        </w:tc>
        <w:tc>
          <w:tcPr/>
          <w:p>
            <w:pPr>
              <w:pStyle w:val="Compact"/>
            </w:pPr>
            <w:r>
              <w:t xml:space="preserve">money</w:t>
            </w:r>
          </w:p>
        </w:tc>
        <w:tc>
          <w:tcPr/>
          <w:p>
            <w:pPr>
              <w:pStyle w:val="Compact"/>
            </w:pPr>
            <w:r>
              <w:t xml:space="preserve">Номинал ЦФА, ₽ (по умолчанию ≤ 50% оценки).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RUB (включая цифровой рубль).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term_months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Срок действия в месяцах.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выпуска.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maturity_date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окончания.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reward_rate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Ставка вознаграждения собственнику, % годовых.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target_program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Идентификатор нацпроекта / федеральной программы.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insurance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Сведения о страховании (СК, полис, сумма).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obremenenie_egrn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Идентификатор записи об обременении в ЕГРН.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smart_contract_hash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Хеш ГОСТ Р 34.11-2012 текста смарт-контракта.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Состояние ЦФА (см. таблицу состояний ниже).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Журнал событий (с подписями УКЭП).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mena_history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История мен с предыдущими и новыми объектами.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audit_signature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УКЭП оператора (ГОСТ 34.10).</w:t>
            </w:r>
          </w:p>
        </w:tc>
      </w:tr>
    </w:tbl>
    <w:bookmarkEnd w:id="11"/>
    <w:bookmarkStart w:id="12" w:name="состояния-цфа"/>
    <w:p>
      <w:pPr>
        <w:pStyle w:val="Heading2"/>
      </w:pPr>
      <w:r>
        <w:t xml:space="preserve">4. Состояния ЦФА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 (после оценки и страхования)</w:t>
      </w:r>
      <w:r>
        <w:br/>
      </w:r>
      <w:r>
        <w:rPr>
          <w:rStyle w:val="VerbatimChar"/>
        </w:rPr>
        <w:t xml:space="preserve">VALUED</w:t>
      </w:r>
      <w:r>
        <w:br/>
      </w:r>
      <w:r>
        <w:rPr>
          <w:rStyle w:val="VerbatimChar"/>
        </w:rPr>
        <w:t xml:space="preserve">  ↓ (после подписания смарт-контракта собственником)</w:t>
      </w:r>
      <w:r>
        <w:br/>
      </w:r>
      <w:r>
        <w:rPr>
          <w:rStyle w:val="VerbatimChar"/>
        </w:rPr>
        <w:t xml:space="preserve">CONTRACT_SIGNED</w:t>
      </w:r>
      <w:r>
        <w:br/>
      </w:r>
      <w:r>
        <w:rPr>
          <w:rStyle w:val="VerbatimChar"/>
        </w:rPr>
        <w:t xml:space="preserve">  ↓ (после регистрации обременения в ЕГРН)</w:t>
      </w:r>
      <w:r>
        <w:br/>
      </w:r>
      <w:r>
        <w:rPr>
          <w:rStyle w:val="VerbatimChar"/>
        </w:rPr>
        <w:t xml:space="preserve">ISSUED</w:t>
      </w:r>
      <w:r>
        <w:br/>
      </w:r>
      <w:r>
        <w:rPr>
          <w:rStyle w:val="VerbatimChar"/>
        </w:rPr>
        <w:t xml:space="preserve">  ↓ (после передачи в Банк России)</w:t>
      </w:r>
      <w:r>
        <w:br/>
      </w:r>
      <w:r>
        <w:rPr>
          <w:rStyle w:val="VerbatimChar"/>
        </w:rPr>
        <w:t xml:space="preserve">TRANSFERRED_TO_CB</w:t>
      </w:r>
      <w:r>
        <w:br/>
      </w:r>
      <w:r>
        <w:rPr>
          <w:rStyle w:val="VerbatimChar"/>
        </w:rPr>
        <w:t xml:space="preserve">  ↓ (после подтверждения эмиссии)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↓ ↓ ↓ ↓</w:t>
      </w:r>
      <w:r>
        <w:br/>
      </w:r>
      <w:r>
        <w:rPr>
          <w:rStyle w:val="VerbatimChar"/>
        </w:rPr>
        <w:t xml:space="preserve">  REINVESTED  — собственник продлил и перевыпустил ЦФА.</w:t>
      </w:r>
      <w:r>
        <w:br/>
      </w:r>
      <w:r>
        <w:rPr>
          <w:rStyle w:val="VerbatimChar"/>
        </w:rPr>
        <w:t xml:space="preserve">  RETURNED    — срок истёк, обременение снято, имущество возвращено.</w:t>
      </w:r>
      <w:r>
        <w:br/>
      </w:r>
      <w:r>
        <w:rPr>
          <w:rStyle w:val="VerbatimChar"/>
        </w:rPr>
        <w:t xml:space="preserve">  INSURED_CASE — наступил страховой случай, выпущен страховой ЦФА.</w:t>
      </w:r>
      <w:r>
        <w:br/>
      </w:r>
      <w:r>
        <w:rPr>
          <w:rStyle w:val="VerbatimChar"/>
        </w:rPr>
        <w:t xml:space="preserve">  MENA_DONE   — произведена мена на ЦФА построенного объекта.</w:t>
      </w:r>
    </w:p>
    <w:p>
      <w:pPr>
        <w:pStyle w:val="FirstParagraph"/>
      </w:pPr>
      <w:r>
        <w:t xml:space="preserve">Каждый переход — событие в реестре, неизменяемое, с подписями операторов и регуляторов.</w:t>
      </w:r>
    </w:p>
    <w:bookmarkEnd w:id="12"/>
    <w:bookmarkStart w:id="16" w:name="смарт-контракт-цфа"/>
    <w:p>
      <w:pPr>
        <w:pStyle w:val="Heading2"/>
      </w:pPr>
      <w:r>
        <w:t xml:space="preserve">5. Смарт-контракт ЦФА</w:t>
      </w:r>
    </w:p>
    <w:bookmarkStart w:id="13" w:name="X74361ebbe21c9775f5e8185d6c8e0c7e87d5c76"/>
    <w:p>
      <w:pPr>
        <w:pStyle w:val="Heading3"/>
      </w:pPr>
      <w:r>
        <w:t xml:space="preserve">5.1. Существенные условия (на основе ФЗ-259 ст. 4)</w:t>
      </w:r>
    </w:p>
    <w:p>
      <w:pPr>
        <w:pStyle w:val="Compact"/>
        <w:numPr>
          <w:ilvl w:val="0"/>
          <w:numId w:val="1002"/>
        </w:numPr>
      </w:pPr>
      <w:r>
        <w:t xml:space="preserve">Стороны.</w:t>
      </w:r>
    </w:p>
    <w:p>
      <w:pPr>
        <w:pStyle w:val="Compact"/>
        <w:numPr>
          <w:ilvl w:val="0"/>
          <w:numId w:val="1002"/>
        </w:numPr>
      </w:pPr>
      <w:r>
        <w:t xml:space="preserve">Идентификатор актива и его оценка.</w:t>
      </w:r>
    </w:p>
    <w:p>
      <w:pPr>
        <w:pStyle w:val="Compact"/>
        <w:numPr>
          <w:ilvl w:val="0"/>
          <w:numId w:val="1002"/>
        </w:numPr>
      </w:pPr>
      <w:r>
        <w:t xml:space="preserve">Номинал и срок ЦФА.</w:t>
      </w:r>
    </w:p>
    <w:p>
      <w:pPr>
        <w:pStyle w:val="Compact"/>
        <w:numPr>
          <w:ilvl w:val="0"/>
          <w:numId w:val="1002"/>
        </w:numPr>
      </w:pPr>
      <w:r>
        <w:t xml:space="preserve">Условия использования: целевое назначение (нацпроект).</w:t>
      </w:r>
    </w:p>
    <w:p>
      <w:pPr>
        <w:pStyle w:val="Compact"/>
        <w:numPr>
          <w:ilvl w:val="0"/>
          <w:numId w:val="1002"/>
        </w:numPr>
      </w:pPr>
      <w:r>
        <w:t xml:space="preserve">Размер и порядок оплаты комиссий оператору.</w:t>
      </w:r>
    </w:p>
    <w:p>
      <w:pPr>
        <w:pStyle w:val="Compact"/>
        <w:numPr>
          <w:ilvl w:val="0"/>
          <w:numId w:val="1002"/>
        </w:numPr>
      </w:pPr>
      <w:r>
        <w:t xml:space="preserve">Размер и порядок вознаграждения собственнику.</w:t>
      </w:r>
    </w:p>
    <w:p>
      <w:pPr>
        <w:pStyle w:val="Compact"/>
        <w:numPr>
          <w:ilvl w:val="0"/>
          <w:numId w:val="1002"/>
        </w:numPr>
      </w:pPr>
      <w:r>
        <w:t xml:space="preserve">Условия страхования рисков.</w:t>
      </w:r>
    </w:p>
    <w:p>
      <w:pPr>
        <w:pStyle w:val="Compact"/>
        <w:numPr>
          <w:ilvl w:val="0"/>
          <w:numId w:val="1002"/>
        </w:numPr>
      </w:pPr>
      <w:r>
        <w:t xml:space="preserve">Условия мены на ЦФА построенного объекта.</w:t>
      </w:r>
    </w:p>
    <w:p>
      <w:pPr>
        <w:pStyle w:val="Compact"/>
        <w:numPr>
          <w:ilvl w:val="0"/>
          <w:numId w:val="1002"/>
        </w:numPr>
      </w:pPr>
      <w:r>
        <w:t xml:space="preserve">Порядок подписания Акта о взаиморасчётах.</w:t>
      </w:r>
    </w:p>
    <w:p>
      <w:pPr>
        <w:pStyle w:val="Compact"/>
        <w:numPr>
          <w:ilvl w:val="0"/>
          <w:numId w:val="1002"/>
        </w:numPr>
      </w:pPr>
      <w:r>
        <w:t xml:space="preserve">Порядок снятия обременения.</w:t>
      </w:r>
    </w:p>
    <w:bookmarkEnd w:id="13"/>
    <w:bookmarkStart w:id="14" w:name="события-смарт-контракта"/>
    <w:p>
      <w:pPr>
        <w:pStyle w:val="Heading3"/>
      </w:pPr>
      <w:r>
        <w:t xml:space="preserve">5.2. События смарт-контракта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ON_ISSUE</w:t>
      </w:r>
      <w:r>
        <w:t xml:space="preserve"> </w:t>
      </w:r>
      <w:r>
        <w:t xml:space="preserve">— выпуск.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ON_CB_RECEIPT</w:t>
      </w:r>
      <w:r>
        <w:t xml:space="preserve"> </w:t>
      </w:r>
      <w:r>
        <w:t xml:space="preserve">— приём Банком России.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ON_EMISSION_CONFIRMED</w:t>
      </w:r>
      <w:r>
        <w:t xml:space="preserve"> </w:t>
      </w:r>
      <w:r>
        <w:t xml:space="preserve">— подтверждение эмиссии под ЦФА.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ON_QUARTERLY_REWARD</w:t>
      </w:r>
      <w:r>
        <w:t xml:space="preserve"> </w:t>
      </w:r>
      <w:r>
        <w:t xml:space="preserve">— квартальная выплата вознаграждения.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ON_INSURANCE_CASE</w:t>
      </w:r>
      <w:r>
        <w:t xml:space="preserve"> </w:t>
      </w:r>
      <w:r>
        <w:t xml:space="preserve">— страховой случай.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ON_MENA_REQUEST</w:t>
      </w:r>
      <w:r>
        <w:t xml:space="preserve"> </w:t>
      </w:r>
      <w:r>
        <w:t xml:space="preserve">— запрос на мену.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ON_MENA_DONE</w:t>
      </w:r>
      <w:r>
        <w:t xml:space="preserve"> </w:t>
      </w:r>
      <w:r>
        <w:t xml:space="preserve">— мена завершена.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ON_RETURN</w:t>
      </w:r>
      <w:r>
        <w:t xml:space="preserve"> </w:t>
      </w:r>
      <w:r>
        <w:t xml:space="preserve">— возврат имущества собственнику.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ON_REINVESTMENT</w:t>
      </w:r>
      <w:r>
        <w:t xml:space="preserve"> </w:t>
      </w:r>
      <w:r>
        <w:t xml:space="preserve">— реинвестирование.</w:t>
      </w:r>
    </w:p>
    <w:bookmarkEnd w:id="14"/>
    <w:bookmarkStart w:id="15" w:name="юридическая-природа"/>
    <w:p>
      <w:pPr>
        <w:pStyle w:val="Heading3"/>
      </w:pPr>
      <w:r>
        <w:t xml:space="preserve">5.3. Юридическая природа</w:t>
      </w:r>
    </w:p>
    <w:p>
      <w:pPr>
        <w:pStyle w:val="Compact"/>
        <w:numPr>
          <w:ilvl w:val="0"/>
          <w:numId w:val="1004"/>
        </w:numPr>
      </w:pPr>
      <w:r>
        <w:t xml:space="preserve">Смарт-контракт является</w:t>
      </w:r>
      <w:r>
        <w:t xml:space="preserve"> </w:t>
      </w:r>
      <w:r>
        <w:rPr>
          <w:b/>
          <w:bCs/>
        </w:rPr>
        <w:t xml:space="preserve">юридически обязательным договором</w:t>
      </w:r>
      <w:r>
        <w:t xml:space="preserve"> </w:t>
      </w:r>
      <w:r>
        <w:t xml:space="preserve">в смысле ст. 309–310 ГК и ст. 4 ФЗ-259.</w:t>
      </w:r>
    </w:p>
    <w:p>
      <w:pPr>
        <w:pStyle w:val="Compact"/>
        <w:numPr>
          <w:ilvl w:val="0"/>
          <w:numId w:val="1004"/>
        </w:numPr>
      </w:pPr>
      <w:r>
        <w:t xml:space="preserve">Подпись — УКЭП ГОСТ Р 34.10-2012 владельца актива (через ЕСИА), оператора, Банка России и страховой компании.</w:t>
      </w:r>
    </w:p>
    <w:p>
      <w:pPr>
        <w:pStyle w:val="Compact"/>
        <w:numPr>
          <w:ilvl w:val="0"/>
          <w:numId w:val="1004"/>
        </w:numPr>
      </w:pPr>
      <w:r>
        <w:t xml:space="preserve">Технологическое исполнение — автоматическое (event-driven).</w:t>
      </w:r>
    </w:p>
    <w:bookmarkEnd w:id="15"/>
    <w:bookmarkEnd w:id="16"/>
    <w:bookmarkStart w:id="17" w:name="Xda52bdab5a6f9f4cb563aad118bea867be66f5f"/>
    <w:p>
      <w:pPr>
        <w:pStyle w:val="Heading2"/>
      </w:pPr>
      <w:r>
        <w:t xml:space="preserve">6. Запрет на свободный оборот ЦФА (ключевое требование концепции)</w:t>
      </w:r>
    </w:p>
    <w:p>
      <w:pPr>
        <w:pStyle w:val="FirstParagraph"/>
      </w:pPr>
      <w:r>
        <w:t xml:space="preserve">В смарт-контракте реализованы программные запреты: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Передача ЦФА</w:t>
      </w:r>
      <w:r>
        <w:t xml:space="preserve"> </w:t>
      </w:r>
      <w:r>
        <w:t xml:space="preserve">— только от оператора к Банку России и от Банка России к оператору (для мены / возврата).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Реализация ЦФА</w:t>
      </w:r>
      <w:r>
        <w:t xml:space="preserve"> </w:t>
      </w:r>
      <w:r>
        <w:t xml:space="preserve">— Банк России не имеет права реализовывать ЦФА участникам рынка ценных бумаг или цифровых активов.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ЦФА не по назначению</w:t>
      </w:r>
      <w:r>
        <w:t xml:space="preserve"> </w:t>
      </w:r>
      <w:r>
        <w:t xml:space="preserve">— программно невозможно, события</w:t>
      </w:r>
      <w:r>
        <w:t xml:space="preserve"> </w:t>
      </w:r>
      <w:r>
        <w:rPr>
          <w:rStyle w:val="VerbatimChar"/>
        </w:rPr>
        <w:t xml:space="preserve">ON_DISPOSAL_OUT_OF_SCOPE</w:t>
      </w:r>
      <w:r>
        <w:t xml:space="preserve"> </w:t>
      </w:r>
      <w:r>
        <w:t xml:space="preserve">отклоняются консенсусом.</w:t>
      </w:r>
    </w:p>
    <w:p>
      <w:pPr>
        <w:pStyle w:val="FirstParagraph"/>
      </w:pPr>
      <w:r>
        <w:t xml:space="preserve">Эти запреты технически встроены в смарт-контракт и контролируются регулятор-узлом Банка России.</w:t>
      </w:r>
    </w:p>
    <w:bookmarkEnd w:id="17"/>
    <w:bookmarkStart w:id="18" w:name="Xa63243ad03afc1a3e108448bd568949e53a264f"/>
    <w:p>
      <w:pPr>
        <w:pStyle w:val="Heading2"/>
      </w:pPr>
      <w:r>
        <w:t xml:space="preserve">7. Связь с эмиссионным контуром Банка России</w:t>
      </w:r>
    </w:p>
    <w:p>
      <w:pPr>
        <w:pStyle w:val="Compact"/>
        <w:numPr>
          <w:ilvl w:val="0"/>
          <w:numId w:val="1006"/>
        </w:numPr>
      </w:pPr>
      <w:r>
        <w:t xml:space="preserve">После события</w:t>
      </w:r>
      <w:r>
        <w:t xml:space="preserve"> </w:t>
      </w:r>
      <w:r>
        <w:rPr>
          <w:rStyle w:val="VerbatimChar"/>
        </w:rPr>
        <w:t xml:space="preserve">ON_CB_RECEIPT</w:t>
      </w:r>
      <w:r>
        <w:t xml:space="preserve"> </w:t>
      </w:r>
      <w:r>
        <w:t xml:space="preserve">платформа отправляет запрос в платформу цифрового рубля Банка России на эмиссию средств под номинал ЦФА.</w:t>
      </w:r>
    </w:p>
    <w:p>
      <w:pPr>
        <w:pStyle w:val="Compact"/>
        <w:numPr>
          <w:ilvl w:val="0"/>
          <w:numId w:val="1006"/>
        </w:numPr>
      </w:pPr>
      <w:r>
        <w:t xml:space="preserve">Подтверждение эмиссии (event</w:t>
      </w:r>
      <w:r>
        <w:t xml:space="preserve"> </w:t>
      </w:r>
      <w:r>
        <w:rPr>
          <w:rStyle w:val="VerbatimChar"/>
        </w:rPr>
        <w:t xml:space="preserve">ON_EMISSION_CONFIRMED</w:t>
      </w:r>
      <w:r>
        <w:t xml:space="preserve">) фиксируется в реестре.</w:t>
      </w:r>
    </w:p>
    <w:p>
      <w:pPr>
        <w:pStyle w:val="Compact"/>
        <w:numPr>
          <w:ilvl w:val="0"/>
          <w:numId w:val="1006"/>
        </w:numPr>
      </w:pPr>
      <w:r>
        <w:t xml:space="preserve">Средства зачисляются на специальный эскроу-счёт / цифровой кошелёк Банка России с целевым назначением.</w:t>
      </w:r>
    </w:p>
    <w:p>
      <w:pPr>
        <w:pStyle w:val="Compact"/>
        <w:numPr>
          <w:ilvl w:val="0"/>
          <w:numId w:val="1006"/>
        </w:numPr>
      </w:pPr>
      <w:r>
        <w:t xml:space="preserve">Перевод в Федеральное казначейство — отдельным событием</w:t>
      </w:r>
      <w:r>
        <w:t xml:space="preserve"> </w:t>
      </w:r>
      <w:r>
        <w:rPr>
          <w:rStyle w:val="VerbatimChar"/>
        </w:rPr>
        <w:t xml:space="preserve">ON_TREASURY_FUNDING</w:t>
      </w:r>
      <w:r>
        <w:t xml:space="preserve">.</w:t>
      </w:r>
    </w:p>
    <w:bookmarkEnd w:id="18"/>
    <w:bookmarkStart w:id="19" w:name="аудит-и-неизменяемость"/>
    <w:p>
      <w:pPr>
        <w:pStyle w:val="Heading2"/>
      </w:pPr>
      <w:r>
        <w:t xml:space="preserve">8. Аудит и неизменяемость</w:t>
      </w:r>
    </w:p>
    <w:p>
      <w:pPr>
        <w:pStyle w:val="Compact"/>
        <w:numPr>
          <w:ilvl w:val="0"/>
          <w:numId w:val="1007"/>
        </w:numPr>
      </w:pPr>
      <w:r>
        <w:t xml:space="preserve">Все события подписаны УКЭП.</w:t>
      </w:r>
    </w:p>
    <w:p>
      <w:pPr>
        <w:pStyle w:val="Compact"/>
        <w:numPr>
          <w:ilvl w:val="0"/>
          <w:numId w:val="1007"/>
        </w:numPr>
      </w:pPr>
      <w:r>
        <w:t xml:space="preserve">Каждый блок реестра содержит хеш предыдущего (chain of trust).</w:t>
      </w:r>
    </w:p>
    <w:p>
      <w:pPr>
        <w:pStyle w:val="Compact"/>
        <w:numPr>
          <w:ilvl w:val="0"/>
          <w:numId w:val="1007"/>
        </w:numPr>
      </w:pPr>
      <w:r>
        <w:t xml:space="preserve">Полная история каждого ЦФА доступна Банку России в реальном времени.</w:t>
      </w:r>
    </w:p>
    <w:p>
      <w:pPr>
        <w:pStyle w:val="Compact"/>
        <w:numPr>
          <w:ilvl w:val="0"/>
          <w:numId w:val="1007"/>
        </w:numPr>
      </w:pPr>
      <w:r>
        <w:t xml:space="preserve">Внешний аудит реестра проводится ежегодно аккредитованной аудиторской организацией.</w:t>
      </w:r>
    </w:p>
    <w:bookmarkEnd w:id="19"/>
    <w:bookmarkStart w:id="20" w:name="производительность"/>
    <w:p>
      <w:pPr>
        <w:pStyle w:val="Heading2"/>
      </w:pPr>
      <w:r>
        <w:t xml:space="preserve">9. Производительность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≥ 200 транзакций/сек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Finality</w:t>
            </w:r>
          </w:p>
        </w:tc>
        <w:tc>
          <w:tcPr/>
          <w:p>
            <w:pPr>
              <w:pStyle w:val="Compact"/>
            </w:pPr>
            <w:r>
              <w:t xml:space="preserve">≤ 3 сек (детерминированная)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для read-операций</w:t>
            </w:r>
          </w:p>
        </w:tc>
        <w:tc>
          <w:tcPr/>
          <w:p>
            <w:pPr>
              <w:pStyle w:val="Compact"/>
            </w:pPr>
            <w:r>
              <w:t xml:space="preserve">≤ 100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реестра</w:t>
            </w:r>
          </w:p>
        </w:tc>
        <w:tc>
          <w:tcPr/>
          <w:p>
            <w:pPr>
              <w:pStyle w:val="Compact"/>
            </w:pPr>
            <w:r>
              <w:t xml:space="preserve">До 100 ГБ в первый год, далее +200–400 ГБ/год</w:t>
            </w:r>
          </w:p>
        </w:tc>
      </w:tr>
    </w:tbl>
    <w:bookmarkEnd w:id="20"/>
    <w:bookmarkStart w:id="21" w:name="резервирование-и-dr"/>
    <w:p>
      <w:pPr>
        <w:pStyle w:val="Heading2"/>
      </w:pPr>
      <w:r>
        <w:t xml:space="preserve">10. Резервирование и DR</w:t>
      </w:r>
    </w:p>
    <w:p>
      <w:pPr>
        <w:pStyle w:val="Compact"/>
        <w:numPr>
          <w:ilvl w:val="0"/>
          <w:numId w:val="1008"/>
        </w:numPr>
      </w:pPr>
      <w:r>
        <w:t xml:space="preserve">Реестр реплицируется синхронно на 3 ЦОД оператора.</w:t>
      </w:r>
    </w:p>
    <w:p>
      <w:pPr>
        <w:pStyle w:val="Compact"/>
        <w:numPr>
          <w:ilvl w:val="0"/>
          <w:numId w:val="1008"/>
        </w:numPr>
      </w:pPr>
      <w:r>
        <w:t xml:space="preserve">Backup полный — ежесуточно, хранится 10 лет.</w:t>
      </w:r>
    </w:p>
    <w:p>
      <w:pPr>
        <w:pStyle w:val="Compact"/>
        <w:numPr>
          <w:ilvl w:val="0"/>
          <w:numId w:val="1008"/>
        </w:numPr>
      </w:pPr>
      <w:r>
        <w:t xml:space="preserve">Restore-тестирование — ежеквартально.</w:t>
      </w:r>
    </w:p>
    <w:bookmarkEnd w:id="21"/>
    <w:bookmarkStart w:id="22" w:name="регуляторная-отчётность-по-реестру"/>
    <w:p>
      <w:pPr>
        <w:pStyle w:val="Heading2"/>
      </w:pPr>
      <w:r>
        <w:t xml:space="preserve">11. Регуляторная отчётность по реестру</w:t>
      </w:r>
    </w:p>
    <w:p>
      <w:pPr>
        <w:pStyle w:val="Compact"/>
        <w:numPr>
          <w:ilvl w:val="0"/>
          <w:numId w:val="1009"/>
        </w:numPr>
      </w:pPr>
      <w:r>
        <w:t xml:space="preserve">Регулярные срезы реестра передаются Банку России.</w:t>
      </w:r>
    </w:p>
    <w:p>
      <w:pPr>
        <w:pStyle w:val="Compact"/>
        <w:numPr>
          <w:ilvl w:val="0"/>
          <w:numId w:val="1009"/>
        </w:numPr>
      </w:pPr>
      <w:r>
        <w:t xml:space="preserve">При запросе регулятора — полный экспорт истории конкретного ЦФА в установленном формате.</w:t>
      </w:r>
    </w:p>
    <w:p>
      <w:pPr>
        <w:pStyle w:val="Compact"/>
        <w:numPr>
          <w:ilvl w:val="0"/>
          <w:numId w:val="1009"/>
        </w:numPr>
      </w:pPr>
      <w:r>
        <w:t xml:space="preserve">Отчёты в Росфинмониторинг по подозрительным операциям — автоматически.</w:t>
      </w:r>
    </w:p>
    <w:bookmarkEnd w:id="22"/>
    <w:bookmarkStart w:id="23" w:name="управление-узлами"/>
    <w:p>
      <w:pPr>
        <w:pStyle w:val="Heading2"/>
      </w:pPr>
      <w:r>
        <w:t xml:space="preserve">12. Управление узлами</w:t>
      </w:r>
    </w:p>
    <w:p>
      <w:pPr>
        <w:pStyle w:val="Compact"/>
        <w:numPr>
          <w:ilvl w:val="0"/>
          <w:numId w:val="1010"/>
        </w:numPr>
      </w:pPr>
      <w:r>
        <w:t xml:space="preserve">Полная замена ключевой пары узла — раз в 3 года.</w:t>
      </w:r>
    </w:p>
    <w:p>
      <w:pPr>
        <w:pStyle w:val="Compact"/>
        <w:numPr>
          <w:ilvl w:val="0"/>
          <w:numId w:val="1010"/>
        </w:numPr>
      </w:pPr>
      <w:r>
        <w:t xml:space="preserve">Добавление новых партнёрских узлов — по решению совета операторов с подтверждением Банком России.</w:t>
      </w:r>
    </w:p>
    <w:p>
      <w:pPr>
        <w:pStyle w:val="Compact"/>
        <w:numPr>
          <w:ilvl w:val="0"/>
          <w:numId w:val="1010"/>
        </w:numPr>
      </w:pPr>
      <w:r>
        <w:t xml:space="preserve">Удаление узла (при отзыве лицензии у партнёра) — по регламенту с архивированием его исторических записей.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2026-05-23T20:40:13Z</dcterms:created>
  <dcterms:modified xsi:type="dcterms:W3CDTF">2026-05-23T20:40:13Z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