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дорожная-карта-разработки-цп-рсфср"/>
    <w:p>
      <w:pPr>
        <w:pStyle w:val="Heading1"/>
      </w:pPr>
      <w:r>
        <w:t xml:space="preserve">Дорожная карта разработки ЦП РСФСР</w:t>
      </w:r>
    </w:p>
    <w:p>
      <w:pPr>
        <w:pStyle w:val="FirstParagraph"/>
      </w:pPr>
      <w:r>
        <w:t xml:space="preserve">Документ детализирует план реализации платформы в соответствии с концепцией автора (срок — от 18 месяцев) и в логике трёх фаз: подготовка → пилот → тиражирование.</w:t>
      </w:r>
    </w:p>
    <w:p>
      <w:r>
        <w:pict>
          <v:rect style="width:0;height:1.5pt" o:hralign="center" o:hrstd="t" o:hr="t"/>
        </w:pict>
      </w:r>
    </w:p>
    <w:bookmarkStart w:id="9" w:name="принципы-планирования"/>
    <w:p>
      <w:pPr>
        <w:pStyle w:val="Heading2"/>
      </w:pPr>
      <w:r>
        <w:t xml:space="preserve">1. Принципы планирования</w:t>
      </w:r>
    </w:p>
    <w:p>
      <w:pPr>
        <w:pStyle w:val="Compact"/>
        <w:numPr>
          <w:ilvl w:val="0"/>
          <w:numId w:val="1001"/>
        </w:numPr>
      </w:pPr>
      <w:r>
        <w:t xml:space="preserve">Концепция автора закрепляет срок реализации платформы-оператора</w:t>
      </w:r>
      <w:r>
        <w:t xml:space="preserve"> </w:t>
      </w:r>
      <w:r>
        <w:rPr>
          <w:b/>
          <w:bCs/>
        </w:rPr>
        <w:t xml:space="preserve">от 18 месяцев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Технологическая разработка ведётся</w:t>
      </w:r>
      <w:r>
        <w:t xml:space="preserve"> </w:t>
      </w:r>
      <w:r>
        <w:rPr>
          <w:b/>
          <w:bCs/>
        </w:rPr>
        <w:t xml:space="preserve">параллельно</w:t>
      </w:r>
      <w:r>
        <w:t xml:space="preserve"> </w:t>
      </w:r>
      <w:r>
        <w:t xml:space="preserve">с подготовкой пакета нормативных актов (см. Юридический фундамент).</w:t>
      </w:r>
    </w:p>
    <w:p>
      <w:pPr>
        <w:pStyle w:val="Compact"/>
        <w:numPr>
          <w:ilvl w:val="0"/>
          <w:numId w:val="1001"/>
        </w:numPr>
      </w:pPr>
      <w:r>
        <w:t xml:space="preserve">Принцип Minimum Viable Product (MVP): первая работоспособная версия с базовым жизненным циклом ЦФА запускается через 12 месяцев от старта.</w:t>
      </w:r>
    </w:p>
    <w:p>
      <w:pPr>
        <w:pStyle w:val="Compact"/>
        <w:numPr>
          <w:ilvl w:val="0"/>
          <w:numId w:val="1001"/>
        </w:numPr>
      </w:pPr>
      <w:r>
        <w:t xml:space="preserve">Технологические релизы — по модели CI/CD с регулярным выпуском (двухнедельные итерации в активной разработке).</w:t>
      </w:r>
    </w:p>
    <w:p>
      <w:r>
        <w:pict>
          <v:rect style="width:0;height:1.5pt" o:hralign="center" o:hrstd="t" o:hr="t"/>
        </w:pict>
      </w:r>
    </w:p>
    <w:bookmarkEnd w:id="9"/>
    <w:bookmarkStart w:id="14" w:name="фаза-1.-подготовка-20252026"/>
    <w:p>
      <w:pPr>
        <w:pStyle w:val="Heading2"/>
      </w:pPr>
      <w:r>
        <w:t xml:space="preserve">2. Фаза 1. Подготовка (2025–2026)</w:t>
      </w:r>
    </w:p>
    <w:bookmarkStart w:id="10" w:name="Xe844d5e52bbfd45566cdf5f89fc7252a7ae1a98"/>
    <w:p>
      <w:pPr>
        <w:pStyle w:val="Heading3"/>
      </w:pPr>
      <w:r>
        <w:t xml:space="preserve">Q1 2025–Q2 2025 (мес. 1–6) — Архитектура и фундамент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M1.1</w:t>
            </w:r>
          </w:p>
        </w:tc>
        <w:tc>
          <w:tcPr/>
          <w:p>
            <w:pPr>
              <w:pStyle w:val="Compact"/>
            </w:pPr>
            <w:r>
              <w:t xml:space="preserve">Согласование концепции с Банком России. Формирование межведомственной рабочей группы.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M1.2</w:t>
            </w:r>
          </w:p>
        </w:tc>
        <w:tc>
          <w:tcPr/>
          <w:p>
            <w:pPr>
              <w:pStyle w:val="Compact"/>
            </w:pPr>
            <w:r>
              <w:t xml:space="preserve">Подготовка проектов ФЗ (поправки в 86-ФЗ и 259-ФЗ); согласование с Минфином и Минцифры.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M1.3</w:t>
            </w:r>
          </w:p>
        </w:tc>
        <w:tc>
          <w:tcPr/>
          <w:p>
            <w:pPr>
              <w:pStyle w:val="Compact"/>
            </w:pPr>
            <w:r>
              <w:t xml:space="preserve">Создание оператора-юридического лица (АО / ООО), уставный капитал.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M1.4</w:t>
            </w:r>
          </w:p>
        </w:tc>
        <w:tc>
          <w:tcPr/>
          <w:p>
            <w:pPr>
              <w:pStyle w:val="Compact"/>
            </w:pPr>
            <w:r>
              <w:t xml:space="preserve">Утверждение технологического стека и выбор DLT-вендора.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M1.5</w:t>
            </w:r>
          </w:p>
        </w:tc>
        <w:tc>
          <w:tcPr/>
          <w:p>
            <w:pPr>
              <w:pStyle w:val="Compact"/>
            </w:pPr>
            <w:r>
              <w:t xml:space="preserve">Подбор пула партнёров (оценочные и страховые организации).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M1.6</w:t>
            </w:r>
          </w:p>
        </w:tc>
        <w:tc>
          <w:tcPr/>
          <w:p>
            <w:pPr>
              <w:pStyle w:val="Compact"/>
            </w:pPr>
            <w:r>
              <w:t xml:space="preserve">Установка инфраструктуры в первом ЦОД (Astra Linux, K8s, СУБД).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M1.7</w:t>
            </w:r>
          </w:p>
        </w:tc>
        <w:tc>
          <w:tcPr/>
          <w:p>
            <w:pPr>
              <w:pStyle w:val="Compact"/>
            </w:pPr>
            <w:r>
              <w:t xml:space="preserve">Разработка детального ТЗ (по ГОСТ 34.602).</w:t>
            </w:r>
          </w:p>
        </w:tc>
      </w:tr>
    </w:tbl>
    <w:bookmarkEnd w:id="10"/>
    <w:bookmarkStart w:id="11" w:name="q3-2025q4-2025-мес.-712-mvp-разработка"/>
    <w:p>
      <w:pPr>
        <w:pStyle w:val="Heading3"/>
      </w:pPr>
      <w:r>
        <w:t xml:space="preserve">Q3 2025–Q4 2025 (мес. 7–12) — MVP-разработка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M2.1</w:t>
            </w:r>
          </w:p>
        </w:tc>
        <w:tc>
          <w:tcPr/>
          <w:p>
            <w:pPr>
              <w:pStyle w:val="Compact"/>
            </w:pPr>
            <w:r>
              <w:t xml:space="preserve">Разработка core-сервисов: KYC, личный кабинет, оценочный модуль.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M2.2</w:t>
            </w:r>
          </w:p>
        </w:tc>
        <w:tc>
          <w:tcPr/>
          <w:p>
            <w:pPr>
              <w:pStyle w:val="Compact"/>
            </w:pPr>
            <w:r>
              <w:t xml:space="preserve">Интеграции базового набора: ЕСИА, ЕГРН, СМЭВ 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M2.3</w:t>
            </w:r>
          </w:p>
        </w:tc>
        <w:tc>
          <w:tcPr/>
          <w:p>
            <w:pPr>
              <w:pStyle w:val="Compact"/>
            </w:pPr>
            <w:r>
              <w:t xml:space="preserve">Разработка DLT-реестра ЦФА.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M2.4</w:t>
            </w:r>
          </w:p>
        </w:tc>
        <w:tc>
          <w:tcPr/>
          <w:p>
            <w:pPr>
              <w:pStyle w:val="Compact"/>
            </w:pPr>
            <w:r>
              <w:t xml:space="preserve">Разработка модуля смарт-контрактов.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M2.5</w:t>
            </w:r>
          </w:p>
        </w:tc>
        <w:tc>
          <w:tcPr/>
          <w:p>
            <w:pPr>
              <w:pStyle w:val="Compact"/>
            </w:pPr>
            <w:r>
              <w:t xml:space="preserve">Разработка веб-портала залогодателя.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M2.6</w:t>
            </w:r>
          </w:p>
        </w:tc>
        <w:tc>
          <w:tcPr/>
          <w:p>
            <w:pPr>
              <w:pStyle w:val="Compact"/>
            </w:pPr>
            <w:r>
              <w:t xml:space="preserve">Базовая система ИБ: периметр, SIEM, EDR; первый аудит ГОСТ Р 57580.1.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M2.7</w:t>
            </w:r>
          </w:p>
        </w:tc>
        <w:tc>
          <w:tcPr/>
          <w:p>
            <w:pPr>
              <w:pStyle w:val="Compact"/>
            </w:pPr>
            <w:r>
              <w:t xml:space="preserve">Внутренний пентест и устранение замечаний.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M2.8</w:t>
            </w:r>
          </w:p>
        </w:tc>
        <w:tc>
          <w:tcPr/>
          <w:p>
            <w:pPr>
              <w:pStyle w:val="Compact"/>
            </w:pPr>
            <w:r>
              <w:t xml:space="preserve">Внутренние нагрузочные тесты.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M2.9</w:t>
            </w:r>
          </w:p>
        </w:tc>
        <w:tc>
          <w:tcPr/>
          <w:p>
            <w:pPr>
              <w:pStyle w:val="Compact"/>
            </w:pPr>
            <w:r>
              <w:t xml:space="preserve">Подача документов в Банк России для включения в реестр операторов (779-П).</w:t>
            </w:r>
          </w:p>
        </w:tc>
      </w:tr>
    </w:tbl>
    <w:bookmarkEnd w:id="11"/>
    <w:bookmarkStart w:id="12" w:name="X8cef43d1f094c849f19e98ecff3123dd16774e9"/>
    <w:p>
      <w:pPr>
        <w:pStyle w:val="Heading3"/>
      </w:pPr>
      <w:r>
        <w:t xml:space="preserve">Q1 2026 (мес. 13–15) — Сертификация и государственная регистрация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M3.1</w:t>
            </w:r>
          </w:p>
        </w:tc>
        <w:tc>
          <w:tcPr/>
          <w:p>
            <w:pPr>
              <w:pStyle w:val="Compact"/>
            </w:pPr>
            <w:r>
              <w:t xml:space="preserve">Категоризация ИС как объекта КИИ; уведомление ФСТЭК.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M3.2</w:t>
            </w:r>
          </w:p>
        </w:tc>
        <w:tc>
          <w:tcPr/>
          <w:p>
            <w:pPr>
              <w:pStyle w:val="Compact"/>
            </w:pPr>
            <w:r>
              <w:t xml:space="preserve">Подключение к ГосСОПКА.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M3.3</w:t>
            </w:r>
          </w:p>
        </w:tc>
        <w:tc>
          <w:tcPr/>
          <w:p>
            <w:pPr>
              <w:pStyle w:val="Compact"/>
            </w:pPr>
            <w:r>
              <w:t xml:space="preserve">Сертификация СЗИ ФСТЭК / ФСБ.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M3.4</w:t>
            </w:r>
          </w:p>
        </w:tc>
        <w:tc>
          <w:tcPr/>
          <w:p>
            <w:pPr>
              <w:pStyle w:val="Compact"/>
            </w:pPr>
            <w:r>
              <w:t xml:space="preserve">Включение в реестр операторов ИС Банка России.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M3.5</w:t>
            </w:r>
          </w:p>
        </w:tc>
        <w:tc>
          <w:tcPr/>
          <w:p>
            <w:pPr>
              <w:pStyle w:val="Compact"/>
            </w:pPr>
            <w:r>
              <w:t xml:space="preserve">Включение в реестр российского ПО (ПП №1236).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M3.6</w:t>
            </w:r>
          </w:p>
        </w:tc>
        <w:tc>
          <w:tcPr/>
          <w:p>
            <w:pPr>
              <w:pStyle w:val="Compact"/>
            </w:pPr>
            <w:r>
              <w:t xml:space="preserve">Внешний пентест аккредитованной лабораторией.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M3.7</w:t>
            </w:r>
          </w:p>
        </w:tc>
        <w:tc>
          <w:tcPr/>
          <w:p>
            <w:pPr>
              <w:pStyle w:val="Compact"/>
            </w:pPr>
            <w:r>
              <w:t xml:space="preserve">Аудит соответствия ГОСТ Р 57580.2.</w:t>
            </w:r>
          </w:p>
        </w:tc>
      </w:tr>
    </w:tbl>
    <w:bookmarkEnd w:id="12"/>
    <w:bookmarkStart w:id="13" w:name="q2-2026-мес.-1618-готовность-к-пилоту"/>
    <w:p>
      <w:pPr>
        <w:pStyle w:val="Heading3"/>
      </w:pPr>
      <w:r>
        <w:t xml:space="preserve">Q2 2026 (мес. 16–18) — Готовность к пилоту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M4.1</w:t>
            </w:r>
          </w:p>
        </w:tc>
        <w:tc>
          <w:tcPr/>
          <w:p>
            <w:pPr>
              <w:pStyle w:val="Compact"/>
            </w:pPr>
            <w:r>
              <w:t xml:space="preserve">Развёртывание второго ЦОД (геораспределение).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M4.2</w:t>
            </w:r>
          </w:p>
        </w:tc>
        <w:tc>
          <w:tcPr/>
          <w:p>
            <w:pPr>
              <w:pStyle w:val="Compact"/>
            </w:pPr>
            <w:r>
              <w:t xml:space="preserve">Подготовка мобильных приложений iOS и Android (готовность к стору).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M4.3</w:t>
            </w:r>
          </w:p>
        </w:tc>
        <w:tc>
          <w:tcPr/>
          <w:p>
            <w:pPr>
              <w:pStyle w:val="Compact"/>
            </w:pPr>
            <w:r>
              <w:t xml:space="preserve">Заключение соглашений с Федеральным казначейством.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M4.4</w:t>
            </w:r>
          </w:p>
        </w:tc>
        <w:tc>
          <w:tcPr/>
          <w:p>
            <w:pPr>
              <w:pStyle w:val="Compact"/>
            </w:pPr>
            <w:r>
              <w:t xml:space="preserve">Подбор первого пула пилотных пользователей.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M4.5</w:t>
            </w:r>
          </w:p>
        </w:tc>
        <w:tc>
          <w:tcPr/>
          <w:p>
            <w:pPr>
              <w:pStyle w:val="Compact"/>
            </w:pPr>
            <w:r>
              <w:t xml:space="preserve">Утверждение целевой нацпроект-программы для пилота.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M4.6</w:t>
            </w:r>
          </w:p>
        </w:tc>
        <w:tc>
          <w:tcPr/>
          <w:p>
            <w:pPr>
              <w:pStyle w:val="Compact"/>
            </w:pPr>
            <w:r>
              <w:t xml:space="preserve">Тестовая эмиссия (sandbox-режим без реальных средств).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Контрольная точка: запуск платформы-оператора (18 мес.)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7" w:name="Xe330cc3c128db090ee0fbeda80796b0551008c5"/>
    <w:p>
      <w:pPr>
        <w:pStyle w:val="Heading2"/>
      </w:pPr>
      <w:r>
        <w:t xml:space="preserve">3. Фаза 2. Пилотирование и основная фаза (2026–2027)</w:t>
      </w:r>
    </w:p>
    <w:bookmarkStart w:id="15" w:name="q3-2026q1-2027-мес.-1927"/>
    <w:p>
      <w:pPr>
        <w:pStyle w:val="Heading3"/>
      </w:pPr>
      <w:r>
        <w:t xml:space="preserve">Q3 2026–Q1 2027 (мес. 19–27)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M5.1</w:t>
            </w:r>
          </w:p>
        </w:tc>
        <w:tc>
          <w:tcPr/>
          <w:p>
            <w:pPr>
              <w:pStyle w:val="Compact"/>
            </w:pPr>
            <w:r>
              <w:t xml:space="preserve">Запуск пилота на ограниченном пуле залогодателей (до 1 000 физлиц + 50 юрлиц).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M5.2</w:t>
            </w:r>
          </w:p>
        </w:tc>
        <w:tc>
          <w:tcPr/>
          <w:p>
            <w:pPr>
              <w:pStyle w:val="Compact"/>
            </w:pPr>
            <w:r>
              <w:t xml:space="preserve">Первая реальная эмиссия Банка России под пул залоговых ЦФА.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M5.3</w:t>
            </w:r>
          </w:p>
        </w:tc>
        <w:tc>
          <w:tcPr/>
          <w:p>
            <w:pPr>
              <w:pStyle w:val="Compact"/>
            </w:pPr>
            <w:r>
              <w:t xml:space="preserve">Первое целевое финансирование конкретного нацпроекта через Федеральное казначейство.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M5.4</w:t>
            </w:r>
          </w:p>
        </w:tc>
        <w:tc>
          <w:tcPr/>
          <w:p>
            <w:pPr>
              <w:pStyle w:val="Compact"/>
            </w:pPr>
            <w:r>
              <w:t xml:space="preserve">Мониторинг работы и сбор замечаний.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M5.5</w:t>
            </w:r>
          </w:p>
        </w:tc>
        <w:tc>
          <w:tcPr/>
          <w:p>
            <w:pPr>
              <w:pStyle w:val="Compact"/>
            </w:pPr>
            <w:r>
              <w:t xml:space="preserve">Развёртывание третьего ЦОД.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M5.6</w:t>
            </w:r>
          </w:p>
        </w:tc>
        <w:tc>
          <w:tcPr/>
          <w:p>
            <w:pPr>
              <w:pStyle w:val="Compact"/>
            </w:pPr>
            <w:r>
              <w:t xml:space="preserve">Релиз мобильного приложения для Windows (.NET MAUI).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M5.7</w:t>
            </w:r>
          </w:p>
        </w:tc>
        <w:tc>
          <w:tcPr/>
          <w:p>
            <w:pPr>
              <w:pStyle w:val="Compact"/>
            </w:pPr>
            <w:r>
              <w:t xml:space="preserve">Расширение пула партнёров.</w:t>
            </w:r>
          </w:p>
        </w:tc>
      </w:tr>
    </w:tbl>
    <w:bookmarkEnd w:id="15"/>
    <w:bookmarkStart w:id="16" w:name="q2-2027q4-2027-мес.-2836"/>
    <w:p>
      <w:pPr>
        <w:pStyle w:val="Heading3"/>
      </w:pPr>
      <w:r>
        <w:t xml:space="preserve">Q2 2027–Q4 2027 (мес. 28–36)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M6.1</w:t>
            </w:r>
          </w:p>
        </w:tc>
        <w:tc>
          <w:tcPr/>
          <w:p>
            <w:pPr>
              <w:pStyle w:val="Compact"/>
            </w:pPr>
            <w:r>
              <w:t xml:space="preserve">Снятие пилотных ограничений; промышленная эксплуатация для всех физических лиц.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M6.2</w:t>
            </w:r>
          </w:p>
        </w:tc>
        <w:tc>
          <w:tcPr/>
          <w:p>
            <w:pPr>
              <w:pStyle w:val="Compact"/>
            </w:pPr>
            <w:r>
              <w:t xml:space="preserve">Расширение на юридические лица — массовый сегмент.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M6.3</w:t>
            </w:r>
          </w:p>
        </w:tc>
        <w:tc>
          <w:tcPr/>
          <w:p>
            <w:pPr>
              <w:pStyle w:val="Compact"/>
            </w:pPr>
            <w:r>
              <w:t xml:space="preserve">Подключение государственных предприятий, НКО, фондов.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M6.4</w:t>
            </w:r>
          </w:p>
        </w:tc>
        <w:tc>
          <w:tcPr/>
          <w:p>
            <w:pPr>
              <w:pStyle w:val="Compact"/>
            </w:pPr>
            <w:r>
              <w:t xml:space="preserve">Подключение всех типов залоговых активов недвижимости.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M6.5</w:t>
            </w:r>
          </w:p>
        </w:tc>
        <w:tc>
          <w:tcPr/>
          <w:p>
            <w:pPr>
              <w:pStyle w:val="Compact"/>
            </w:pPr>
            <w:r>
              <w:t xml:space="preserve">Первая мена ЦФА (объект введён в эксплуатацию, ЦФА собственника замещён ЦФА нового объекта).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M6.6</w:t>
            </w:r>
          </w:p>
        </w:tc>
        <w:tc>
          <w:tcPr/>
          <w:p>
            <w:pPr>
              <w:pStyle w:val="Compact"/>
            </w:pPr>
            <w:r>
              <w:t xml:space="preserve">Аудит результатов первой фазы; публичный отчёт.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M6.7</w:t>
            </w:r>
          </w:p>
        </w:tc>
        <w:tc>
          <w:tcPr/>
          <w:p>
            <w:pPr>
              <w:pStyle w:val="Compact"/>
            </w:pPr>
            <w:r>
              <w:t xml:space="preserve">Подготовка к фазе 3 (тиражирование).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0" w:name="фаза-3.-тиражирование-2027"/>
    <w:p>
      <w:pPr>
        <w:pStyle w:val="Heading2"/>
      </w:pPr>
      <w:r>
        <w:t xml:space="preserve">4. Фаза 3. Тиражирование (2027+)</w:t>
      </w:r>
    </w:p>
    <w:bookmarkStart w:id="18" w:name="section"/>
    <w:p>
      <w:pPr>
        <w:pStyle w:val="Heading3"/>
      </w:pPr>
      <w:r>
        <w:t xml:space="preserve">2028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M7.1</w:t>
            </w:r>
          </w:p>
        </w:tc>
        <w:tc>
          <w:tcPr/>
          <w:p>
            <w:pPr>
              <w:pStyle w:val="Compact"/>
            </w:pPr>
            <w:r>
              <w:t xml:space="preserve">Расширение на движимое имущество (транспортные средства, оборудование).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M7.2</w:t>
            </w:r>
          </w:p>
        </w:tc>
        <w:tc>
          <w:tcPr/>
          <w:p>
            <w:pPr>
              <w:pStyle w:val="Compact"/>
            </w:pPr>
            <w:r>
              <w:t xml:space="preserve">Интеграция с Роспатентом для ЦФА на ИС.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M7.3</w:t>
            </w:r>
          </w:p>
        </w:tc>
        <w:tc>
          <w:tcPr/>
          <w:p>
            <w:pPr>
              <w:pStyle w:val="Compact"/>
            </w:pPr>
            <w:r>
              <w:t xml:space="preserve">Интеграция с депозитариями для ЦФА на ценные бумаги.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M7.4</w:t>
            </w:r>
          </w:p>
        </w:tc>
        <w:tc>
          <w:tcPr/>
          <w:p>
            <w:pPr>
              <w:pStyle w:val="Compact"/>
            </w:pPr>
            <w:r>
              <w:t xml:space="preserve">Запуск Open API для партнёрских банков и сервисов (B2B2G).</w:t>
            </w:r>
          </w:p>
        </w:tc>
      </w:tr>
    </w:tbl>
    <w:bookmarkEnd w:id="18"/>
    <w:bookmarkStart w:id="19" w:name="section-1"/>
    <w:p>
      <w:pPr>
        <w:pStyle w:val="Heading3"/>
      </w:pPr>
      <w:r>
        <w:t xml:space="preserve">2029+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M8.1</w:t>
            </w:r>
          </w:p>
        </w:tc>
        <w:tc>
          <w:tcPr/>
          <w:p>
            <w:pPr>
              <w:pStyle w:val="Compact"/>
            </w:pPr>
            <w:r>
              <w:t xml:space="preserve">Межгосударственная интеграция с операторами БРИКС+ и ЕАЭС (по согласованию с Банком России).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M8.2</w:t>
            </w:r>
          </w:p>
        </w:tc>
        <w:tc>
          <w:tcPr/>
          <w:p>
            <w:pPr>
              <w:pStyle w:val="Compact"/>
            </w:pPr>
            <w:r>
              <w:t xml:space="preserve">Подключение государственных программ инфраструктурных проектов в полном объёме.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M8.3</w:t>
            </w:r>
          </w:p>
        </w:tc>
        <w:tc>
          <w:tcPr/>
          <w:p>
            <w:pPr>
              <w:pStyle w:val="Compact"/>
            </w:pPr>
            <w:r>
              <w:t xml:space="preserve">Открытие платформы для региональных программ (по решению ЦБ).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распределение-работ-по-командам"/>
    <w:p>
      <w:pPr>
        <w:pStyle w:val="Heading2"/>
      </w:pPr>
      <w:r>
        <w:t xml:space="preserve">5. Распределение работ по командам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Размер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Архитектура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Системный дизайн, ревью решений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Core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Бизнес-сервисы платформы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DLT-команда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Реестр ЦФА, смарт-контракты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Web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Веб-портал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iOS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Приложение 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Android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Приложение Android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Windows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Приложение .NET MAUI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 / SRE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Инфраструктура, CI/CD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Тестирование функциональное, нагрузочное,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ИБ / SOC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Безопасность, мониторинг, реагирование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Юридическая команда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Соответствие, договорная работа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/ KYC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115-ФЗ, регуляторика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Финансы / отчётность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Регуляторная отчётность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 / Product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Бизнес-аналитика, продуктовая работа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Партнёрства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Работа с оценщиками, страховыми, госорганами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+ 16 управленческих ≈</w:t>
            </w:r>
            <w:r>
              <w:t xml:space="preserve"> </w:t>
            </w:r>
            <w:r>
              <w:rPr>
                <w:b/>
                <w:bCs/>
              </w:rPr>
              <w:t xml:space="preserve">120 человек к концу года 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критические-зависимости"/>
    <w:p>
      <w:pPr>
        <w:pStyle w:val="Heading2"/>
      </w:pPr>
      <w:r>
        <w:t xml:space="preserve">6. Критические зависимости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Зависимость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Митигация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Принятие поправок в 86-ФЗ и 259-ФЗ</w:t>
            </w:r>
          </w:p>
        </w:tc>
        <w:tc>
          <w:tcPr/>
          <w:p>
            <w:pPr>
              <w:pStyle w:val="Compact"/>
            </w:pPr>
            <w:r>
              <w:t xml:space="preserve">Внешняя — законодательная</w:t>
            </w:r>
          </w:p>
        </w:tc>
        <w:tc>
          <w:tcPr/>
          <w:p>
            <w:pPr>
              <w:pStyle w:val="Compact"/>
            </w:pPr>
            <w:r>
              <w:t xml:space="preserve">Сопровождение в Госдуме и Правительстве; параллельная разработка платформы под действующее право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Получение лицензии Банка России (779-П)</w:t>
            </w:r>
          </w:p>
        </w:tc>
        <w:tc>
          <w:tcPr/>
          <w:p>
            <w:pPr>
              <w:pStyle w:val="Compact"/>
            </w:pPr>
            <w:r>
              <w:t xml:space="preserve">Внешняя — регуляторная</w:t>
            </w:r>
          </w:p>
        </w:tc>
        <w:tc>
          <w:tcPr/>
          <w:p>
            <w:pPr>
              <w:pStyle w:val="Compact"/>
            </w:pPr>
            <w:r>
              <w:t xml:space="preserve">Раннее вовлечение ЦБ в проектную работу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Интеграция с цифровым рублём</w:t>
            </w:r>
          </w:p>
        </w:tc>
        <w:tc>
          <w:tcPr/>
          <w:p>
            <w:pPr>
              <w:pStyle w:val="Compact"/>
            </w:pPr>
            <w:r>
              <w:t xml:space="preserve">Внешняя — техническая</w:t>
            </w:r>
          </w:p>
        </w:tc>
        <w:tc>
          <w:tcPr/>
          <w:p>
            <w:pPr>
              <w:pStyle w:val="Compact"/>
            </w:pPr>
            <w:r>
              <w:t xml:space="preserve">Согласование с командой ЦБ платформы цифрового рубля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Доступность отечественных DLT-платформ</w:t>
            </w:r>
          </w:p>
        </w:tc>
        <w:tc>
          <w:tcPr/>
          <w:p>
            <w:pPr>
              <w:pStyle w:val="Compact"/>
            </w:pPr>
            <w:r>
              <w:t xml:space="preserve">Внешняя — технологическая</w:t>
            </w:r>
          </w:p>
        </w:tc>
        <w:tc>
          <w:tcPr/>
          <w:p>
            <w:pPr>
              <w:pStyle w:val="Compact"/>
            </w:pPr>
            <w:r>
              <w:t xml:space="preserve">Пилот с 2 поставщиками; выбор финального вендора по результатам 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Подбор персонала с экспертизой ЦФА</w:t>
            </w:r>
          </w:p>
        </w:tc>
        <w:tc>
          <w:tcPr/>
          <w:p>
            <w:pPr>
              <w:pStyle w:val="Compact"/>
            </w:pPr>
            <w:r>
              <w:t xml:space="preserve">Внутренняя — кадровая</w:t>
            </w:r>
          </w:p>
        </w:tc>
        <w:tc>
          <w:tcPr/>
          <w:p>
            <w:pPr>
              <w:pStyle w:val="Compact"/>
            </w:pPr>
            <w:r>
              <w:t xml:space="preserve">Программа подготовки совместно с НИУ ВШЭ / РАНХиГС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контрольные-kpi"/>
    <w:p>
      <w:pPr>
        <w:pStyle w:val="Heading2"/>
      </w:pPr>
      <w:r>
        <w:t xml:space="preserve">7. Контрольные KPI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Целевое значение к концу года 1</w:t>
            </w:r>
          </w:p>
        </w:tc>
        <w:tc>
          <w:tcPr/>
          <w:p>
            <w:pPr>
              <w:pStyle w:val="Compact"/>
            </w:pPr>
            <w:r>
              <w:t xml:space="preserve">К концу года 2</w:t>
            </w:r>
          </w:p>
        </w:tc>
        <w:tc>
          <w:tcPr/>
          <w:p>
            <w:pPr>
              <w:pStyle w:val="Compact"/>
            </w:pPr>
            <w:r>
              <w:t xml:space="preserve">К концу года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Готовность платформы (% от полного scope)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 (промышленная эксплуатация)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Количество выпущенных ЦФА</w:t>
            </w:r>
          </w:p>
        </w:tc>
        <w:tc>
          <w:tcPr/>
          <w:p>
            <w:pPr>
              <w:pStyle w:val="Compact"/>
            </w:pPr>
            <w:r>
              <w:t xml:space="preserve">0 (sandbox)</w:t>
            </w:r>
          </w:p>
        </w:tc>
        <w:tc>
          <w:tcPr/>
          <w:p>
            <w:pPr>
              <w:pStyle w:val="Compact"/>
            </w:pPr>
            <w:r>
              <w:t xml:space="preserve">1 000</w:t>
            </w:r>
          </w:p>
        </w:tc>
        <w:tc>
          <w:tcPr/>
          <w:p>
            <w:pPr>
              <w:pStyle w:val="Compact"/>
            </w:pPr>
            <w:r>
              <w:t xml:space="preserve">50 000+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Объём эмиссии под ЦФА, млрд ₽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Партнёрская сеть (оценщики + страховые)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 доступности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99,95%</w:t>
            </w:r>
          </w:p>
        </w:tc>
        <w:tc>
          <w:tcPr/>
          <w:p>
            <w:pPr>
              <w:pStyle w:val="Compact"/>
            </w:pPr>
            <w:r>
              <w:t xml:space="preserve">99,99%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Уровень соответствия ГОСТ Р 57580.1</w:t>
            </w:r>
          </w:p>
        </w:tc>
        <w:tc>
          <w:tcPr/>
          <w:p>
            <w:pPr>
              <w:pStyle w:val="Compact"/>
            </w:pPr>
            <w:r>
              <w:t xml:space="preserve">3-й</w:t>
            </w:r>
          </w:p>
        </w:tc>
        <w:tc>
          <w:tcPr/>
          <w:p>
            <w:pPr>
              <w:pStyle w:val="Compact"/>
            </w:pPr>
            <w:r>
              <w:t xml:space="preserve">4-й</w:t>
            </w:r>
          </w:p>
        </w:tc>
        <w:tc>
          <w:tcPr/>
          <w:p>
            <w:pPr>
              <w:pStyle w:val="Compact"/>
            </w:pPr>
            <w:r>
              <w:t xml:space="preserve">4-й</w:t>
            </w:r>
          </w:p>
        </w:tc>
      </w:tr>
    </w:tbl>
    <w:bookmarkEnd w:id="23"/>
    <w:bookmarkStart w:id="24" w:name="бюджетные-ориентиры"/>
    <w:p>
      <w:pPr>
        <w:pStyle w:val="Heading2"/>
      </w:pPr>
      <w:r>
        <w:t xml:space="preserve">8. Бюджетные ориентиры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Период</w:t>
            </w:r>
          </w:p>
        </w:tc>
        <w:tc>
          <w:tcPr/>
          <w:p>
            <w:pPr>
              <w:pStyle w:val="Compact"/>
            </w:pPr>
            <w:r>
              <w:t xml:space="preserve">Затраты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Год 1</w:t>
            </w:r>
          </w:p>
        </w:tc>
        <w:tc>
          <w:tcPr/>
          <w:p>
            <w:pPr>
              <w:pStyle w:val="Compact"/>
            </w:pPr>
            <w:r>
              <w:t xml:space="preserve">700 млн ₽</w:t>
            </w:r>
          </w:p>
        </w:tc>
        <w:tc>
          <w:tcPr/>
          <w:p>
            <w:pPr>
              <w:pStyle w:val="Compact"/>
            </w:pPr>
            <w:r>
              <w:t xml:space="preserve">Стартовый раунд (1,3 млрд ₽ суммарно)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Год 2</w:t>
            </w:r>
          </w:p>
        </w:tc>
        <w:tc>
          <w:tcPr/>
          <w:p>
            <w:pPr>
              <w:pStyle w:val="Compact"/>
            </w:pPr>
            <w:r>
              <w:t xml:space="preserve">450 млн ₽</w:t>
            </w:r>
          </w:p>
        </w:tc>
        <w:tc>
          <w:tcPr/>
          <w:p>
            <w:pPr>
              <w:pStyle w:val="Compact"/>
            </w:pPr>
            <w:r>
              <w:t xml:space="preserve">Стартовый раунд + операционные доходы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Год 3</w:t>
            </w:r>
          </w:p>
        </w:tc>
        <w:tc>
          <w:tcPr/>
          <w:p>
            <w:pPr>
              <w:pStyle w:val="Compact"/>
            </w:pPr>
            <w:r>
              <w:t xml:space="preserve">380 млн ₽</w:t>
            </w:r>
          </w:p>
        </w:tc>
        <w:tc>
          <w:tcPr/>
          <w:p>
            <w:pPr>
              <w:pStyle w:val="Compact"/>
            </w:pPr>
            <w:r>
              <w:t xml:space="preserve">Операционные доходы</w:t>
            </w:r>
          </w:p>
        </w:tc>
      </w:tr>
    </w:tbl>
    <w:p>
      <w:pPr>
        <w:pStyle w:val="BodyText"/>
      </w:pPr>
      <w:r>
        <w:t xml:space="preserve">Детальная финмодель — в</w:t>
      </w:r>
      <w:r>
        <w:t xml:space="preserve"> </w:t>
      </w:r>
      <w:r>
        <w:rPr>
          <w:rStyle w:val="VerbatimChar"/>
        </w:rPr>
        <w:t xml:space="preserve">03_Финансовая_модель/Финансовая_модель_ЦП_РСФСР.md</w:t>
      </w:r>
      <w:r>
        <w:t xml:space="preserve">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2026-05-23T20:40:13Z</dcterms:created>
  <dcterms:modified xsi:type="dcterms:W3CDTF">2026-05-23T20:40:13Z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