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Xbd8c47b833e0d748cef7cf715be29a80cc14135"/>
    <w:p>
      <w:pPr>
        <w:pStyle w:val="Heading1"/>
      </w:pPr>
      <w:r>
        <w:t xml:space="preserve">Юридический фундамент проекта «Цифровая Платформа РСФСР»</w:t>
      </w:r>
    </w:p>
    <w:bookmarkStart w:id="9" w:name="X8efd1707070e281be3a6e5c5d7262ea0384741d"/>
    <w:p>
      <w:pPr>
        <w:pStyle w:val="Heading2"/>
      </w:pPr>
      <w:r>
        <w:t xml:space="preserve">Российский Сервис Финансирования Социального Развития</w:t>
      </w:r>
    </w:p>
    <w:p>
      <w:pPr>
        <w:pStyle w:val="FirstParagraph"/>
      </w:pPr>
      <w:r>
        <w:rPr>
          <w:b/>
          <w:bCs/>
        </w:rPr>
        <w:t xml:space="preserve">Автор и правообладатель концепции:</w:t>
      </w:r>
      <w:r>
        <w:t xml:space="preserve"> </w:t>
      </w:r>
      <w:r>
        <w:t xml:space="preserve">Кагиров Абдул-Хаким Ахмадович</w:t>
      </w:r>
      <w:r>
        <w:t xml:space="preserve"> </w:t>
      </w:r>
      <w:r>
        <w:rPr>
          <w:b/>
          <w:bCs/>
        </w:rPr>
        <w:t xml:space="preserve">Свидетельство о депонировании:</w:t>
      </w:r>
      <w:r>
        <w:t xml:space="preserve"> </w:t>
      </w:r>
      <w:r>
        <w:t xml:space="preserve">№4011265 от 19.12.2024 (ireg.pro), хеш ГОСТ-Р 34.11-2012.</w:t>
      </w:r>
      <w:r>
        <w:t xml:space="preserve"> </w:t>
      </w:r>
      <w:r>
        <w:rPr>
          <w:b/>
          <w:bCs/>
        </w:rPr>
        <w:t xml:space="preserve">Назначение документа:</w:t>
      </w:r>
      <w:r>
        <w:t xml:space="preserve"> </w:t>
      </w:r>
      <w:r>
        <w:t xml:space="preserve">правовой каркас платформы-оператора выпуска цифровых финансовых активов под залог имущества с целевой эмиссией Банка России и направлением средств через Федеральное казначейство на национальные проекты.</w:t>
      </w:r>
    </w:p>
    <w:p>
      <w:r>
        <w:pict>
          <v:rect style="width:0;height:1.5pt" o:hralign="center" o:hrstd="t" o:hr="t"/>
        </w:pict>
      </w:r>
    </w:p>
    <w:bookmarkEnd w:id="9"/>
    <w:bookmarkStart w:id="13" w:name="X60d4dcccef150f1c1457d5205116ff41c4932c8"/>
    <w:p>
      <w:pPr>
        <w:pStyle w:val="Heading2"/>
      </w:pPr>
      <w:r>
        <w:t xml:space="preserve">1. Правовая квалификация платформы и её оператора</w:t>
      </w:r>
    </w:p>
    <w:bookmarkStart w:id="10" w:name="базовая-правовая-позиция"/>
    <w:p>
      <w:pPr>
        <w:pStyle w:val="Heading3"/>
      </w:pPr>
      <w:r>
        <w:t xml:space="preserve">1.1. Базовая правовая позиция</w:t>
      </w:r>
    </w:p>
    <w:p>
      <w:pPr>
        <w:pStyle w:val="FirstParagraph"/>
      </w:pPr>
      <w:r>
        <w:t xml:space="preserve">Цифровая Платформа РСФСР по своей юридической природе соответствует понятию</w:t>
      </w:r>
      <w:r>
        <w:t xml:space="preserve"> </w:t>
      </w:r>
      <w:r>
        <w:rPr>
          <w:b/>
          <w:bCs/>
        </w:rPr>
        <w:t xml:space="preserve">«информационная система, в которой осуществляется выпуск цифровых финансовых активов»</w:t>
      </w:r>
      <w:r>
        <w:t xml:space="preserve"> </w:t>
      </w:r>
      <w:r>
        <w:t xml:space="preserve">в значении Федерального закона от 31.07.2020 №259-ФЗ «О цифровых финансовых активах, цифровой валюте и о внесении изменений в отдельные законодательные акты Российской Федерации» (далее — Закон №259-ФЗ).</w:t>
      </w:r>
    </w:p>
    <w:p>
      <w:pPr>
        <w:pStyle w:val="BodyText"/>
      </w:pPr>
      <w:r>
        <w:t xml:space="preserve">Оператор Платформы квалифицируется как: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Оператор информационной системы, в которой осуществляется выпуск ЦФА</w:t>
      </w:r>
      <w:r>
        <w:t xml:space="preserve"> </w:t>
      </w:r>
      <w:r>
        <w:t xml:space="preserve">(пункт 1 статьи 5 Закона №259-ФЗ). Полномочия и обязанности оператора закреплены статьями 5–7 названного Закона.</w:t>
      </w:r>
    </w:p>
    <w:p>
      <w:pPr>
        <w:pStyle w:val="Compact"/>
        <w:numPr>
          <w:ilvl w:val="0"/>
          <w:numId w:val="1001"/>
        </w:numPr>
      </w:pPr>
      <w:r>
        <w:t xml:space="preserve">На втором этапе развития проекта — также как</w:t>
      </w:r>
      <w:r>
        <w:t xml:space="preserve"> </w:t>
      </w:r>
      <w:r>
        <w:rPr>
          <w:b/>
          <w:bCs/>
        </w:rPr>
        <w:t xml:space="preserve">оператор обмена цифровых финансовых активов</w:t>
      </w:r>
      <w:r>
        <w:t xml:space="preserve"> </w:t>
      </w:r>
      <w:r>
        <w:t xml:space="preserve">(статья 10 Закона №259-ФЗ), если в архитектуре будут реализованы функции вторичного обращения ЦФА между квалифицированными участниками.</w:t>
      </w:r>
    </w:p>
    <w:p>
      <w:pPr>
        <w:pStyle w:val="FirstParagraph"/>
      </w:pPr>
      <w:r>
        <w:t xml:space="preserve">Включение оператора в реестр Банка России производится по правилам, установленным:</w:t>
      </w:r>
    </w:p>
    <w:p>
      <w:pPr>
        <w:pStyle w:val="Compact"/>
        <w:numPr>
          <w:ilvl w:val="0"/>
          <w:numId w:val="1002"/>
        </w:numPr>
      </w:pPr>
      <w:r>
        <w:t xml:space="preserve">статьями 5 и 6 Закона №259-ФЗ;</w:t>
      </w:r>
    </w:p>
    <w:p>
      <w:pPr>
        <w:pStyle w:val="Compact"/>
        <w:numPr>
          <w:ilvl w:val="0"/>
          <w:numId w:val="1002"/>
        </w:numPr>
      </w:pPr>
      <w:r>
        <w:t xml:space="preserve">Положением Банка России от 16.11.2021 №779-П «О требованиях, при соответствии которым лицо, имеющее намерение осуществлять деятельность оператора информационной системы, в которой осуществляется выпуск цифровых финансовых активов, включается Банком России в реестр операторов информационных систем» (применимо в действующей редакции);</w:t>
      </w:r>
    </w:p>
    <w:p>
      <w:pPr>
        <w:pStyle w:val="Compact"/>
        <w:numPr>
          <w:ilvl w:val="0"/>
          <w:numId w:val="1002"/>
        </w:numPr>
      </w:pPr>
      <w:r>
        <w:t xml:space="preserve">Положением Банка России от 16.11.2021 №780-П «О деятельности оператора обмена цифровых финансовых активов и о требованиях к оператору обмена цифровых финансовых активов».</w:t>
      </w:r>
    </w:p>
    <w:bookmarkEnd w:id="10"/>
    <w:bookmarkStart w:id="11" w:name="X667ba3d9594860c5365bada3f1759bbca05312c"/>
    <w:p>
      <w:pPr>
        <w:pStyle w:val="Heading3"/>
      </w:pPr>
      <w:r>
        <w:t xml:space="preserve">1.2. Требования к организационно-правовой форме оператора</w:t>
      </w:r>
    </w:p>
    <w:p>
      <w:pPr>
        <w:pStyle w:val="FirstParagraph"/>
      </w:pPr>
      <w:r>
        <w:t xml:space="preserve">Согласно части 1 статьи 5 Закона №259-ФЗ оператором информационной системы может являться:</w:t>
      </w:r>
    </w:p>
    <w:p>
      <w:pPr>
        <w:pStyle w:val="Compact"/>
        <w:numPr>
          <w:ilvl w:val="0"/>
          <w:numId w:val="1003"/>
        </w:numPr>
      </w:pPr>
      <w:r>
        <w:t xml:space="preserve">российское юридическое лицо в форме непубличного акционерного общества или общества с ограниченной ответственностью (для оператора-небанковской организации);</w:t>
      </w:r>
    </w:p>
    <w:p>
      <w:pPr>
        <w:pStyle w:val="Compact"/>
        <w:numPr>
          <w:ilvl w:val="0"/>
          <w:numId w:val="1003"/>
        </w:numPr>
      </w:pPr>
      <w:r>
        <w:t xml:space="preserve">кредитная организация;</w:t>
      </w:r>
    </w:p>
    <w:p>
      <w:pPr>
        <w:pStyle w:val="Compact"/>
        <w:numPr>
          <w:ilvl w:val="0"/>
          <w:numId w:val="1003"/>
        </w:numPr>
      </w:pPr>
      <w:r>
        <w:t xml:space="preserve">организатор торговли (статья 9 Федерального закона от 21.11.2011 №325-ФЗ «Об организованных торгах»).</w:t>
      </w:r>
    </w:p>
    <w:p>
      <w:pPr>
        <w:pStyle w:val="FirstParagraph"/>
      </w:pPr>
      <w:r>
        <w:t xml:space="preserve">Для целей ЦП РСФСР целесообразна модель</w:t>
      </w:r>
      <w:r>
        <w:t xml:space="preserve"> </w:t>
      </w:r>
      <w:r>
        <w:rPr>
          <w:b/>
          <w:bCs/>
        </w:rPr>
        <w:t xml:space="preserve">специализированного акционерного общества с государственным или смешанным капиталом</w:t>
      </w:r>
      <w:r>
        <w:t xml:space="preserve">, что отвечает национальной значимости проекта и упрощает взаимодействие с Банком России и Федеральным казначейством.</w:t>
      </w:r>
    </w:p>
    <w:bookmarkEnd w:id="11"/>
    <w:bookmarkStart w:id="12" w:name="Xa1054965e9d973d40948d75e61d41c3d5ff631d"/>
    <w:p>
      <w:pPr>
        <w:pStyle w:val="Heading3"/>
      </w:pPr>
      <w:r>
        <w:t xml:space="preserve">1.3. Минимальные имущественные и инфраструктурные требования</w:t>
      </w:r>
    </w:p>
    <w:p>
      <w:pPr>
        <w:pStyle w:val="FirstParagraph"/>
      </w:pPr>
      <w:r>
        <w:t xml:space="preserve">В соответствии с требованиями Положения Банка России №779-П оператор должен подтвердить:</w:t>
      </w:r>
    </w:p>
    <w:p>
      <w:pPr>
        <w:pStyle w:val="Compact"/>
        <w:numPr>
          <w:ilvl w:val="0"/>
          <w:numId w:val="1004"/>
        </w:numPr>
      </w:pPr>
      <w:r>
        <w:t xml:space="preserve">Размер собственных средств — не менее установленного нормативным актом Банка России на дату подачи документов (для ЦП РСФСР закладывается резерв собственных средств не менее</w:t>
      </w:r>
      <w:r>
        <w:t xml:space="preserve"> </w:t>
      </w:r>
      <w:r>
        <w:rPr>
          <w:b/>
          <w:bCs/>
        </w:rPr>
        <w:t xml:space="preserve">50 миллионов рублей</w:t>
      </w:r>
      <w:r>
        <w:t xml:space="preserve"> </w:t>
      </w:r>
      <w:r>
        <w:t xml:space="preserve">на этапе входа в реестр и</w:t>
      </w:r>
      <w:r>
        <w:t xml:space="preserve"> </w:t>
      </w:r>
      <w:r>
        <w:rPr>
          <w:b/>
          <w:bCs/>
        </w:rPr>
        <w:t xml:space="preserve">не менее 500 миллионов рублей</w:t>
      </w:r>
      <w:r>
        <w:t xml:space="preserve"> </w:t>
      </w:r>
      <w:r>
        <w:t xml:space="preserve">на этапе промышленной эксплуатации, что превышает минимально необходимое).</w:t>
      </w:r>
    </w:p>
    <w:p>
      <w:pPr>
        <w:pStyle w:val="Compact"/>
        <w:numPr>
          <w:ilvl w:val="0"/>
          <w:numId w:val="1004"/>
        </w:numPr>
      </w:pPr>
      <w:r>
        <w:t xml:space="preserve">Наличие прав на программно-аппаратный комплекс информационной системы.</w:t>
      </w:r>
    </w:p>
    <w:p>
      <w:pPr>
        <w:pStyle w:val="Compact"/>
        <w:numPr>
          <w:ilvl w:val="0"/>
          <w:numId w:val="1004"/>
        </w:numPr>
      </w:pPr>
      <w:r>
        <w:t xml:space="preserve">Наличие сертифицированных средств защиты информации (ФСТЭК России, ФСБ России).</w:t>
      </w:r>
    </w:p>
    <w:p>
      <w:pPr>
        <w:pStyle w:val="Compact"/>
        <w:numPr>
          <w:ilvl w:val="0"/>
          <w:numId w:val="1004"/>
        </w:numPr>
      </w:pPr>
      <w:r>
        <w:t xml:space="preserve">Внутренние документы: правила информационной системы (статья 6 Закона №259-ФЗ), правила внутреннего контроля по 115-ФЗ, правила обработки персональных данных (152-ФЗ), политика информационной безопасности, регламент управления операционным риском.</w:t>
      </w:r>
    </w:p>
    <w:p>
      <w:pPr>
        <w:pStyle w:val="Compact"/>
        <w:numPr>
          <w:ilvl w:val="0"/>
          <w:numId w:val="1004"/>
        </w:numPr>
      </w:pPr>
      <w:r>
        <w:t xml:space="preserve">Соответствие требованиям к деловой репутации руководящего состава и контролирующих лиц.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применимое-федеральное-законодательство"/>
    <w:p>
      <w:pPr>
        <w:pStyle w:val="Heading2"/>
      </w:pPr>
      <w:r>
        <w:t xml:space="preserve">2. Применимое федеральное законодательство</w:t>
      </w:r>
    </w:p>
    <w:p>
      <w:pPr>
        <w:pStyle w:val="FirstParagraph"/>
      </w:pPr>
      <w:r>
        <w:t xml:space="preserve">Полный нормативный контур платформы формируется следующими актами (с указанием конкретных статей, применимых к проекту):</w:t>
      </w:r>
    </w:p>
    <w:bookmarkStart w:id="14" w:name="базовые-федеральные-законы"/>
    <w:p>
      <w:pPr>
        <w:pStyle w:val="Heading3"/>
      </w:pPr>
      <w:r>
        <w:t xml:space="preserve">2.1. Базовые федеральные законы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Акт</w:t>
            </w:r>
          </w:p>
        </w:tc>
        <w:tc>
          <w:tcPr/>
          <w:p>
            <w:pPr>
              <w:pStyle w:val="Compact"/>
            </w:pPr>
            <w:r>
              <w:t xml:space="preserve">Применимость к ЦП РСФСР</w:t>
            </w:r>
          </w:p>
        </w:tc>
        <w:tc>
          <w:tcPr/>
          <w:p>
            <w:pPr>
              <w:pStyle w:val="Compact"/>
            </w:pPr>
            <w:r>
              <w:t xml:space="preserve">Ключевые статьи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Федеральный закон от 31.07.2020 №259-ФЗ «О цифровых финансовых активах, цифровой валюте…»</w:t>
            </w:r>
          </w:p>
        </w:tc>
        <w:tc>
          <w:tcPr/>
          <w:p>
            <w:pPr>
              <w:pStyle w:val="Compact"/>
            </w:pPr>
            <w:r>
              <w:t xml:space="preserve">Базовое регулирование выпуска и обращения ЦФА.</w:t>
            </w:r>
          </w:p>
        </w:tc>
        <w:tc>
          <w:tcPr/>
          <w:p>
            <w:pPr>
              <w:pStyle w:val="Compact"/>
            </w:pPr>
            <w:r>
              <w:t xml:space="preserve">Статьи 1, 2 (понятия); 4 (виды ЦФА); 5 (оператор ИС); 6 (правила ИС); 7 (выпуск ЦФА); 8 (учёт прав); 10 (оператор обмена); 11 (особенности обращения ЦФА); 14 (надзор Банка России).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Федеральный закон от 10.07.2002 №86-ФЗ «О Центральном банке Российской Федерации (Банке России)»</w:t>
            </w:r>
          </w:p>
        </w:tc>
        <w:tc>
          <w:tcPr/>
          <w:p>
            <w:pPr>
              <w:pStyle w:val="Compact"/>
            </w:pPr>
            <w:r>
              <w:t xml:space="preserve">Эмиссионная функция, регулирование и надзор за финансовым рынком.</w:t>
            </w:r>
          </w:p>
        </w:tc>
        <w:tc>
          <w:tcPr/>
          <w:p>
            <w:pPr>
              <w:pStyle w:val="Compact"/>
            </w:pPr>
            <w:r>
              <w:t xml:space="preserve">Статья 4 (функции Банка России); статья 23 (счета Банка России и операции); статья 75 (надзор и регулирование); статьи 76.1–76.5 (надзор за некредитными финансовыми организациями); глава X (регулирование оборота цифрового рубля — введена ФЗ №340-ФЗ).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Федеральный закон от 24.07.2023 №340-ФЗ «О внесении изменений в отдельные законодательные акты Российской Федерации»</w:t>
            </w:r>
          </w:p>
        </w:tc>
        <w:tc>
          <w:tcPr/>
          <w:p>
            <w:pPr>
              <w:pStyle w:val="Compact"/>
            </w:pPr>
            <w:r>
              <w:t xml:space="preserve">Введение института цифрового рубля и изменения в Закон №86-ФЗ и в ГК РФ.</w:t>
            </w:r>
          </w:p>
        </w:tc>
        <w:tc>
          <w:tcPr/>
          <w:p>
            <w:pPr>
              <w:pStyle w:val="Compact"/>
            </w:pPr>
            <w:r>
              <w:t xml:space="preserve">Все положения о цифровом рубле, особенно правила учёта и обращения.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Федеральный закон от 27.06.2011 №161-ФЗ «О национальной платёжной системе»</w:t>
            </w:r>
          </w:p>
        </w:tc>
        <w:tc>
          <w:tcPr/>
          <w:p>
            <w:pPr>
              <w:pStyle w:val="Compact"/>
            </w:pPr>
            <w:r>
              <w:t xml:space="preserve">Платёжные взаимодействия, эскроу-движения.</w:t>
            </w:r>
          </w:p>
        </w:tc>
        <w:tc>
          <w:tcPr/>
          <w:p>
            <w:pPr>
              <w:pStyle w:val="Compact"/>
            </w:pPr>
            <w:r>
              <w:t xml:space="preserve">Главы 1–4; статьи 9, 9.1 (платформа цифрового рубля).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Федеральный закон от 22.04.1996 №39-ФЗ «О рынке ценных бумаг»</w:t>
            </w:r>
          </w:p>
        </w:tc>
        <w:tc>
          <w:tcPr/>
          <w:p>
            <w:pPr>
              <w:pStyle w:val="Compact"/>
            </w:pPr>
            <w:r>
              <w:t xml:space="preserve">Соотношение ЦФА с эмиссионными ценными бумагами; раскрытие информации.</w:t>
            </w:r>
          </w:p>
        </w:tc>
        <w:tc>
          <w:tcPr/>
          <w:p>
            <w:pPr>
              <w:pStyle w:val="Compact"/>
            </w:pPr>
            <w:r>
              <w:t xml:space="preserve">Статьи 1, 2, 30 (раскрытие).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Федеральный закон от 07.08.2001 №115-ФЗ «О ПОД/ФТ»</w:t>
            </w:r>
          </w:p>
        </w:tc>
        <w:tc>
          <w:tcPr/>
          <w:p>
            <w:pPr>
              <w:pStyle w:val="Compact"/>
            </w:pPr>
            <w:r>
              <w:t xml:space="preserve">Идентификация клиентов, мониторинг операций, обязательный внутренний контроль.</w:t>
            </w:r>
          </w:p>
        </w:tc>
        <w:tc>
          <w:tcPr/>
          <w:p>
            <w:pPr>
              <w:pStyle w:val="Compact"/>
            </w:pPr>
            <w:r>
              <w:t xml:space="preserve">Статьи 3, 6, 7; пункт 1.4-2 статьи 7 (особенности по ЦФА).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Федеральный закон от 27.07.2006 №152-ФЗ «О персональных данных»</w:t>
            </w:r>
          </w:p>
        </w:tc>
        <w:tc>
          <w:tcPr/>
          <w:p>
            <w:pPr>
              <w:pStyle w:val="Compact"/>
            </w:pPr>
            <w:r>
              <w:t xml:space="preserve">Обработка ПДн клиентов платформы.</w:t>
            </w:r>
          </w:p>
        </w:tc>
        <w:tc>
          <w:tcPr/>
          <w:p>
            <w:pPr>
              <w:pStyle w:val="Compact"/>
            </w:pPr>
            <w:r>
              <w:t xml:space="preserve">Статьи 6, 7, 9, 18.1, 19.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Федеральный закон от 27.07.2006 №149-ФЗ «Об информации, информационных технологиях и о защите информации»</w:t>
            </w:r>
          </w:p>
        </w:tc>
        <w:tc>
          <w:tcPr/>
          <w:p>
            <w:pPr>
              <w:pStyle w:val="Compact"/>
            </w:pPr>
            <w:r>
              <w:t xml:space="preserve">Статус оператора ИС, требования к её эксплуатации.</w:t>
            </w:r>
          </w:p>
        </w:tc>
        <w:tc>
          <w:tcPr/>
          <w:p>
            <w:pPr>
              <w:pStyle w:val="Compact"/>
            </w:pPr>
            <w:r>
              <w:t xml:space="preserve">Статьи 10, 13, 16.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Федеральный закон от 26.07.2017 №187-ФЗ «О безопасности КИИ»</w:t>
            </w:r>
          </w:p>
        </w:tc>
        <w:tc>
          <w:tcPr/>
          <w:p>
            <w:pPr>
              <w:pStyle w:val="Compact"/>
            </w:pPr>
            <w:r>
              <w:t xml:space="preserve">Категоризация ИС как объекта КИИ; обязанности субъекта КИИ.</w:t>
            </w:r>
          </w:p>
        </w:tc>
        <w:tc>
          <w:tcPr/>
          <w:p>
            <w:pPr>
              <w:pStyle w:val="Compact"/>
            </w:pPr>
            <w:r>
              <w:t xml:space="preserve">Статьи 2, 7, 9.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Федеральный закон от 16.07.1998 №102-ФЗ «Об ипотеке (залоге недвижимости)»</w:t>
            </w:r>
          </w:p>
        </w:tc>
        <w:tc>
          <w:tcPr/>
          <w:p>
            <w:pPr>
              <w:pStyle w:val="Compact"/>
            </w:pPr>
            <w:r>
              <w:t xml:space="preserve">Залог недвижимости.</w:t>
            </w:r>
          </w:p>
        </w:tc>
        <w:tc>
          <w:tcPr/>
          <w:p>
            <w:pPr>
              <w:pStyle w:val="Compact"/>
            </w:pPr>
            <w:r>
              <w:t xml:space="preserve">Главы I–III; статьи 11, 19 (госрегистрация ипотеки), 50–55 (обращение взыскания).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Федеральный закон от 13.07.2015 №218-ФЗ «О государственной регистрации недвижимости»</w:t>
            </w:r>
          </w:p>
        </w:tc>
        <w:tc>
          <w:tcPr/>
          <w:p>
            <w:pPr>
              <w:pStyle w:val="Compact"/>
            </w:pPr>
            <w:r>
              <w:t xml:space="preserve">Регистрация обременений, ЕГРН.</w:t>
            </w:r>
          </w:p>
        </w:tc>
        <w:tc>
          <w:tcPr/>
          <w:p>
            <w:pPr>
              <w:pStyle w:val="Compact"/>
            </w:pPr>
            <w:r>
              <w:t xml:space="preserve">Статьи 4, 8, 9, 14, 53.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Федеральный закон от 29.07.1998 №135-ФЗ «Об оценочной деятельности в Российской Федерации»</w:t>
            </w:r>
          </w:p>
        </w:tc>
        <w:tc>
          <w:tcPr/>
          <w:p>
            <w:pPr>
              <w:pStyle w:val="Compact"/>
            </w:pPr>
            <w:r>
              <w:t xml:space="preserve">Оценочные организации-партнёры.</w:t>
            </w:r>
          </w:p>
        </w:tc>
        <w:tc>
          <w:tcPr/>
          <w:p>
            <w:pPr>
              <w:pStyle w:val="Compact"/>
            </w:pPr>
            <w:r>
              <w:t xml:space="preserve">Статьи 4, 8, 11, 14.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Закон Российской Федерации от 27.11.1992 №4015-1 «Об организации страхового дела в Российской Федерации»</w:t>
            </w:r>
          </w:p>
        </w:tc>
        <w:tc>
          <w:tcPr/>
          <w:p>
            <w:pPr>
              <w:pStyle w:val="Compact"/>
            </w:pPr>
            <w:r>
              <w:t xml:space="preserve">Страховые организации-партнёры; обязательное страхование залога и ЦФА.</w:t>
            </w:r>
          </w:p>
        </w:tc>
        <w:tc>
          <w:tcPr/>
          <w:p>
            <w:pPr>
              <w:pStyle w:val="Compact"/>
            </w:pPr>
            <w:r>
              <w:t xml:space="preserve">Статьи 4, 32, 32.9.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Федеральный закон от 05.04.2013 №44-ФЗ «О контрактной системе…»; Федеральный закон от 18.07.2011 №223-ФЗ.</w:t>
            </w:r>
          </w:p>
        </w:tc>
        <w:tc>
          <w:tcPr/>
          <w:p>
            <w:pPr>
              <w:pStyle w:val="Compact"/>
            </w:pPr>
            <w:r>
              <w:t xml:space="preserve">Взаимодействие с государственными заказчиками.</w:t>
            </w:r>
          </w:p>
        </w:tc>
        <w:tc>
          <w:tcPr/>
          <w:p>
            <w:pPr>
              <w:pStyle w:val="Compact"/>
            </w:pPr>
            <w:r>
              <w:t xml:space="preserve">По применимости.</w:t>
            </w:r>
          </w:p>
        </w:tc>
      </w:tr>
    </w:tbl>
    <w:bookmarkEnd w:id="14"/>
    <w:bookmarkStart w:id="15" w:name="кодифицированные-акты"/>
    <w:p>
      <w:pPr>
        <w:pStyle w:val="Heading3"/>
      </w:pPr>
      <w:r>
        <w:t xml:space="preserve">2.2. Кодифицированные акты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Кодекс</w:t>
            </w:r>
          </w:p>
        </w:tc>
        <w:tc>
          <w:tcPr/>
          <w:p>
            <w:pPr>
              <w:pStyle w:val="Compact"/>
            </w:pPr>
            <w:r>
              <w:t xml:space="preserve">Применимые нормы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Гражданский кодекс Российской Федерации, часть первая</w:t>
            </w:r>
          </w:p>
        </w:tc>
        <w:tc>
          <w:tcPr/>
          <w:p>
            <w:pPr>
              <w:pStyle w:val="Compact"/>
            </w:pPr>
            <w:r>
              <w:t xml:space="preserve">Залог: статьи 334–358 ГК; залог имущественных прав: статьи 358.1–358.8; смешанный договор: статья 421.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Гражданский кодекс, часть вторая</w:t>
            </w:r>
          </w:p>
        </w:tc>
        <w:tc>
          <w:tcPr/>
          <w:p>
            <w:pPr>
              <w:pStyle w:val="Compact"/>
            </w:pPr>
            <w:r>
              <w:t xml:space="preserve">Договор счёта эскроу: статьи 860.7–860.10; договор условного депонирования: статьи 926.1–926.8.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Гражданский кодекс, часть четвёртая</w:t>
            </w:r>
          </w:p>
        </w:tc>
        <w:tc>
          <w:tcPr/>
          <w:p>
            <w:pPr>
              <w:pStyle w:val="Compact"/>
            </w:pPr>
            <w:r>
              <w:t xml:space="preserve">Ноу-хау (секрет производства): статьи 1465–1469; залог исключительных прав: статья 1232.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Налоговый кодекс Российской Федерации</w:t>
            </w:r>
          </w:p>
        </w:tc>
        <w:tc>
          <w:tcPr/>
          <w:p>
            <w:pPr>
              <w:pStyle w:val="Compact"/>
            </w:pPr>
            <w:r>
              <w:t xml:space="preserve">Налогообложение операций с ЦФА: статья 214.11 (НДФЛ); статья 282.2; пункт 3.2 статьи 251 (налог на прибыль по доходам, связанным с цифровыми активами); НДС: применимость подпунктов 1 и 38 пункта 2 статьи 149.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7" w:name="нормативные-акты-банка-россии"/>
    <w:p>
      <w:pPr>
        <w:pStyle w:val="Heading2"/>
      </w:pPr>
      <w:r>
        <w:t xml:space="preserve">3. Нормативные акты Банка России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Акт</w:t>
            </w:r>
          </w:p>
        </w:tc>
        <w:tc>
          <w:tcPr/>
          <w:p>
            <w:pPr>
              <w:pStyle w:val="Compact"/>
            </w:pPr>
            <w:r>
              <w:t xml:space="preserve">Сфера регулирования</w:t>
            </w:r>
          </w:p>
        </w:tc>
        <w:tc>
          <w:tcPr/>
          <w:p>
            <w:pPr>
              <w:pStyle w:val="Compact"/>
            </w:pPr>
            <w:r>
              <w:t xml:space="preserve">Применимость к платформе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Положение Банка России №779-П от 16.11.2021</w:t>
            </w:r>
          </w:p>
        </w:tc>
        <w:tc>
          <w:tcPr/>
          <w:p>
            <w:pPr>
              <w:pStyle w:val="Compact"/>
            </w:pPr>
            <w:r>
              <w:t xml:space="preserve">Требования к оператору информационной системы, в которой осуществляется выпуск ЦФА.</w:t>
            </w:r>
          </w:p>
        </w:tc>
        <w:tc>
          <w:tcPr/>
          <w:p>
            <w:pPr>
              <w:pStyle w:val="Compact"/>
            </w:pPr>
            <w:r>
              <w:t xml:space="preserve">Основное лицензионное правило.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Положение Банка России №780-П от 16.11.2021</w:t>
            </w:r>
          </w:p>
        </w:tc>
        <w:tc>
          <w:tcPr/>
          <w:p>
            <w:pPr>
              <w:pStyle w:val="Compact"/>
            </w:pPr>
            <w:r>
              <w:t xml:space="preserve">Требования к оператору обмена ЦФА.</w:t>
            </w:r>
          </w:p>
        </w:tc>
        <w:tc>
          <w:tcPr/>
          <w:p>
            <w:pPr>
              <w:pStyle w:val="Compact"/>
            </w:pPr>
            <w:r>
              <w:t xml:space="preserve">Применимо при реализации обменного контура.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Положение Банка России №683-П от 17.04.2019</w:t>
            </w:r>
          </w:p>
        </w:tc>
        <w:tc>
          <w:tcPr/>
          <w:p>
            <w:pPr>
              <w:pStyle w:val="Compact"/>
            </w:pPr>
            <w:r>
              <w:t xml:space="preserve">Требования к обеспечению защиты информации в кредитных и некредитных финансовых организациях.</w:t>
            </w:r>
          </w:p>
        </w:tc>
        <w:tc>
          <w:tcPr/>
          <w:p>
            <w:pPr>
              <w:pStyle w:val="Compact"/>
            </w:pPr>
            <w:r>
              <w:t xml:space="preserve">Базовый стандарт информационной безопасности платформы.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Положение Банка России №716-П от 08.04.2020</w:t>
            </w:r>
          </w:p>
        </w:tc>
        <w:tc>
          <w:tcPr/>
          <w:p>
            <w:pPr>
              <w:pStyle w:val="Compact"/>
            </w:pPr>
            <w:r>
              <w:t xml:space="preserve">Управление операционным риском в кредитных организациях и применимое к НФО.</w:t>
            </w:r>
          </w:p>
        </w:tc>
        <w:tc>
          <w:tcPr/>
          <w:p>
            <w:pPr>
              <w:pStyle w:val="Compact"/>
            </w:pPr>
            <w:r>
              <w:t xml:space="preserve">Основа политики управления операционным риском оператора.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Положение Банка России №242-П от 16.12.2003</w:t>
            </w:r>
          </w:p>
        </w:tc>
        <w:tc>
          <w:tcPr/>
          <w:p>
            <w:pPr>
              <w:pStyle w:val="Compact"/>
            </w:pPr>
            <w:r>
              <w:t xml:space="preserve">Внутренний контроль в кредитных организациях.</w:t>
            </w:r>
          </w:p>
        </w:tc>
        <w:tc>
          <w:tcPr/>
          <w:p>
            <w:pPr>
              <w:pStyle w:val="Compact"/>
            </w:pPr>
            <w:r>
              <w:t xml:space="preserve">Опорный стандарт для построения системы внутреннего контроля у оператора-небанковской организации.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Указание Банка России №3624-У от 15.04.2015</w:t>
            </w:r>
          </w:p>
        </w:tc>
        <w:tc>
          <w:tcPr/>
          <w:p>
            <w:pPr>
              <w:pStyle w:val="Compact"/>
            </w:pPr>
            <w:r>
              <w:t xml:space="preserve">Требования к системе управления рисками и капиталом.</w:t>
            </w:r>
          </w:p>
        </w:tc>
        <w:tc>
          <w:tcPr/>
          <w:p>
            <w:pPr>
              <w:pStyle w:val="Compact"/>
            </w:pPr>
            <w:r>
              <w:t xml:space="preserve">Применимо в части управления рисками.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Положение Банка России №499-П от 15.10.2015</w:t>
            </w:r>
          </w:p>
        </w:tc>
        <w:tc>
          <w:tcPr/>
          <w:p>
            <w:pPr>
              <w:pStyle w:val="Compact"/>
            </w:pPr>
            <w:r>
              <w:t xml:space="preserve">Идентификация клиентов в целях ПОД/ФТ.</w:t>
            </w:r>
          </w:p>
        </w:tc>
        <w:tc>
          <w:tcPr/>
          <w:p>
            <w:pPr>
              <w:pStyle w:val="Compact"/>
            </w:pPr>
            <w:r>
              <w:t xml:space="preserve">Регламент KYC платформы.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Положение Банка России №482-П от 09.06.2015</w:t>
            </w:r>
          </w:p>
        </w:tc>
        <w:tc>
          <w:tcPr/>
          <w:p>
            <w:pPr>
              <w:pStyle w:val="Compact"/>
            </w:pPr>
            <w:r>
              <w:t xml:space="preserve">Единая биометрическая система.</w:t>
            </w:r>
          </w:p>
        </w:tc>
        <w:tc>
          <w:tcPr/>
          <w:p>
            <w:pPr>
              <w:pStyle w:val="Compact"/>
            </w:pPr>
            <w:r>
              <w:t xml:space="preserve">Альтернативный канал идентификации клиентов платформы.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Указание Банка России №6635-У от 05.06.2023</w:t>
            </w:r>
          </w:p>
        </w:tc>
        <w:tc>
          <w:tcPr/>
          <w:p>
            <w:pPr>
              <w:pStyle w:val="Compact"/>
            </w:pPr>
            <w:r>
              <w:t xml:space="preserve">Установление обязательных требований к организациям финансового рынка по обработке инцидентов информационной безопасности.</w:t>
            </w:r>
          </w:p>
        </w:tc>
        <w:tc>
          <w:tcPr/>
          <w:p>
            <w:pPr>
              <w:pStyle w:val="Compact"/>
            </w:pPr>
            <w:r>
              <w:t xml:space="preserve">Включается в политику ИБ платформы.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Указание Банка России №3889-У от 15.12.2015</w:t>
            </w:r>
          </w:p>
        </w:tc>
        <w:tc>
          <w:tcPr/>
          <w:p>
            <w:pPr>
              <w:pStyle w:val="Compact"/>
            </w:pPr>
            <w:r>
              <w:t xml:space="preserve">Информирование Банка России об инцидентах.</w:t>
            </w:r>
          </w:p>
        </w:tc>
        <w:tc>
          <w:tcPr/>
          <w:p>
            <w:pPr>
              <w:pStyle w:val="Compact"/>
            </w:pPr>
            <w:r>
              <w:t xml:space="preserve">Регламент уведомлений оператора.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ГОСТ Р 57580.1-2017</w:t>
            </w:r>
          </w:p>
        </w:tc>
        <w:tc>
          <w:tcPr/>
          <w:p>
            <w:pPr>
              <w:pStyle w:val="Compact"/>
            </w:pPr>
            <w:r>
              <w:t xml:space="preserve">Финансовые операции. Защита информации финансовых организаций. Базовый состав организационных и технических мер.</w:t>
            </w:r>
          </w:p>
        </w:tc>
        <w:tc>
          <w:tcPr/>
          <w:p>
            <w:pPr>
              <w:pStyle w:val="Compact"/>
            </w:pPr>
            <w:r>
              <w:t xml:space="preserve">Целевой уровень защиты —</w:t>
            </w:r>
            <w:r>
              <w:t xml:space="preserve"> </w:t>
            </w:r>
            <w:r>
              <w:rPr>
                <w:b/>
                <w:bCs/>
              </w:rPr>
              <w:t xml:space="preserve">4-й (максимальный)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ГОСТ Р 57580.2-2018</w:t>
            </w:r>
          </w:p>
        </w:tc>
        <w:tc>
          <w:tcPr/>
          <w:p>
            <w:pPr>
              <w:pStyle w:val="Compact"/>
            </w:pPr>
            <w:r>
              <w:t xml:space="preserve">Финансовые операции. Защита информации финансовых организаций. Методика оценки соответствия.</w:t>
            </w:r>
          </w:p>
        </w:tc>
        <w:tc>
          <w:tcPr/>
          <w:p>
            <w:pPr>
              <w:pStyle w:val="Compact"/>
            </w:pPr>
            <w:r>
              <w:t xml:space="preserve">Регламент периодической независимой оценки.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ГОСТ Р 57580.3-2022</w:t>
            </w:r>
          </w:p>
        </w:tc>
        <w:tc>
          <w:tcPr/>
          <w:p>
            <w:pPr>
              <w:pStyle w:val="Compact"/>
            </w:pPr>
            <w:r>
              <w:t xml:space="preserve">Финансовые операции. Защита информации финансовых организаций. Управление риском реализации информационных угроз.</w:t>
            </w:r>
          </w:p>
        </w:tc>
        <w:tc>
          <w:tcPr/>
          <w:p>
            <w:pPr>
              <w:pStyle w:val="Compact"/>
            </w:pPr>
            <w:r>
              <w:t xml:space="preserve">Применимо.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ГОСТ Р 57580.4-2022</w:t>
            </w:r>
          </w:p>
        </w:tc>
        <w:tc>
          <w:tcPr/>
          <w:p>
            <w:pPr>
              <w:pStyle w:val="Compact"/>
            </w:pPr>
            <w:r>
              <w:t xml:space="preserve">Применение операционной надёжности.</w:t>
            </w:r>
          </w:p>
        </w:tc>
        <w:tc>
          <w:tcPr/>
          <w:p>
            <w:pPr>
              <w:pStyle w:val="Compact"/>
            </w:pPr>
            <w:r>
              <w:t xml:space="preserve">Применимо.</w:t>
            </w:r>
          </w:p>
        </w:tc>
      </w:tr>
    </w:tbl>
    <w:p>
      <w:pPr>
        <w:pStyle w:val="BodyText"/>
      </w:pPr>
      <w:r>
        <w:t xml:space="preserve">Соответствие платформы каждому из вышеуказанных нормативных актов будет подтверждено:</w:t>
      </w:r>
    </w:p>
    <w:p>
      <w:pPr>
        <w:pStyle w:val="Compact"/>
        <w:numPr>
          <w:ilvl w:val="0"/>
          <w:numId w:val="1005"/>
        </w:numPr>
      </w:pPr>
      <w:r>
        <w:t xml:space="preserve">Независимой оценкой соответствия по методике ГОСТ Р 57580.2-2018 (внешний аудитор из числа лицензиатов ФСТЭК России).</w:t>
      </w:r>
    </w:p>
    <w:p>
      <w:pPr>
        <w:pStyle w:val="Compact"/>
        <w:numPr>
          <w:ilvl w:val="0"/>
          <w:numId w:val="1005"/>
        </w:numPr>
      </w:pPr>
      <w:r>
        <w:t xml:space="preserve">Согласованием правил информационной системы Банком России в порядке, установленном статьёй 6 Закона №259-ФЗ.</w:t>
      </w:r>
    </w:p>
    <w:p>
      <w:pPr>
        <w:pStyle w:val="Compact"/>
        <w:numPr>
          <w:ilvl w:val="0"/>
          <w:numId w:val="1005"/>
        </w:numPr>
      </w:pPr>
      <w:r>
        <w:t xml:space="preserve">Сертификацией средств защиты информации в системе сертификации ФСТЭК России и ФСБ России.</w:t>
      </w:r>
    </w:p>
    <w:p>
      <w:r>
        <w:pict>
          <v:rect style="width:0;height:1.5pt" o:hralign="center" o:hrstd="t" o:hr="t"/>
        </w:pict>
      </w:r>
    </w:p>
    <w:bookmarkEnd w:id="17"/>
    <w:bookmarkStart w:id="21" w:name="Xec911e6a0d114b2fb0f1e6e321281da33dd7468"/>
    <w:p>
      <w:pPr>
        <w:pStyle w:val="Heading2"/>
      </w:pPr>
      <w:r>
        <w:t xml:space="preserve">4. Эмиссия денежных средств под выпущенные ЦФА</w:t>
      </w:r>
    </w:p>
    <w:bookmarkStart w:id="18" w:name="правовая-природа"/>
    <w:p>
      <w:pPr>
        <w:pStyle w:val="Heading3"/>
      </w:pPr>
      <w:r>
        <w:t xml:space="preserve">4.1. Правовая природа</w:t>
      </w:r>
    </w:p>
    <w:p>
      <w:pPr>
        <w:pStyle w:val="FirstParagraph"/>
      </w:pPr>
      <w:r>
        <w:t xml:space="preserve">Конструкция, заложенная в концепции автора, предполагает выпуск Банком России денежных средств (в перспективе — цифрового рубля)</w:t>
      </w:r>
      <w:r>
        <w:t xml:space="preserve"> </w:t>
      </w:r>
      <w:r>
        <w:rPr>
          <w:b/>
          <w:bCs/>
        </w:rPr>
        <w:t xml:space="preserve">под обеспечение совокупным портфелем залоговых ЦФА</w:t>
      </w:r>
      <w:r>
        <w:t xml:space="preserve">. Эмиссия квалифицируется как:</w:t>
      </w:r>
    </w:p>
    <w:p>
      <w:pPr>
        <w:pStyle w:val="Compact"/>
        <w:numPr>
          <w:ilvl w:val="0"/>
          <w:numId w:val="1006"/>
        </w:numPr>
      </w:pPr>
      <w:r>
        <w:t xml:space="preserve">дополнительная эмиссия в рамках полномочий, установленных пунктом 2 статьи 4 и статьёй 75 Закона №86-ФЗ;</w:t>
      </w:r>
    </w:p>
    <w:p>
      <w:pPr>
        <w:pStyle w:val="Compact"/>
        <w:numPr>
          <w:ilvl w:val="0"/>
          <w:numId w:val="1006"/>
        </w:numPr>
      </w:pPr>
      <w:r>
        <w:t xml:space="preserve">осуществляемая на</w:t>
      </w:r>
      <w:r>
        <w:t xml:space="preserve"> </w:t>
      </w:r>
      <w:r>
        <w:rPr>
          <w:b/>
          <w:bCs/>
        </w:rPr>
        <w:t xml:space="preserve">обеспеченной основе</w:t>
      </w:r>
      <w:r>
        <w:t xml:space="preserve"> </w:t>
      </w:r>
      <w:r>
        <w:t xml:space="preserve">— в этом её принципиальное отличие от классических операций денежно-кредитной политики;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целевой</w:t>
      </w:r>
      <w:r>
        <w:t xml:space="preserve"> </w:t>
      </w:r>
      <w:r>
        <w:t xml:space="preserve">— средства не выходят в свободное обращение, а целевым образом направляются через Федеральное казначейство на финансирование государственных программ.</w:t>
      </w:r>
    </w:p>
    <w:bookmarkEnd w:id="18"/>
    <w:bookmarkStart w:id="19" w:name="соотношение-с-эмиссией-цифрового-рубля"/>
    <w:p>
      <w:pPr>
        <w:pStyle w:val="Heading3"/>
      </w:pPr>
      <w:r>
        <w:t xml:space="preserve">4.2. Соотношение с эмиссией цифрового рубля</w:t>
      </w:r>
    </w:p>
    <w:p>
      <w:pPr>
        <w:pStyle w:val="FirstParagraph"/>
      </w:pPr>
      <w:r>
        <w:t xml:space="preserve">После принятия Федерального закона №340-ФЗ от 24.07.2023 Банк России является оператором платформы цифрового рубля и эмитентом цифрового рубля как третьей формы российской национальной валюты (наряду с наличной и безналичной формами). Закон №340-ФЗ дополнил Закон №86-ФЗ соответствующей главой.</w:t>
      </w:r>
    </w:p>
    <w:p>
      <w:pPr>
        <w:pStyle w:val="BodyText"/>
      </w:pPr>
      <w:r>
        <w:t xml:space="preserve">ЦП РСФСР встраивается в эту правовую конструкцию следующим образом:</w:t>
      </w:r>
    </w:p>
    <w:p>
      <w:pPr>
        <w:pStyle w:val="Compact"/>
        <w:numPr>
          <w:ilvl w:val="0"/>
          <w:numId w:val="1007"/>
        </w:numPr>
      </w:pPr>
      <w:r>
        <w:t xml:space="preserve">Оператор платформы выпускает ЦФА в своей информационной системе.</w:t>
      </w:r>
    </w:p>
    <w:p>
      <w:pPr>
        <w:pStyle w:val="Compact"/>
        <w:numPr>
          <w:ilvl w:val="0"/>
          <w:numId w:val="1007"/>
        </w:numPr>
      </w:pPr>
      <w:r>
        <w:t xml:space="preserve">ЦФА передаётся в управление Банку России и учитывается в специальном реестре.</w:t>
      </w:r>
    </w:p>
    <w:p>
      <w:pPr>
        <w:pStyle w:val="Compact"/>
        <w:numPr>
          <w:ilvl w:val="0"/>
          <w:numId w:val="1007"/>
        </w:numPr>
      </w:pPr>
      <w:r>
        <w:t xml:space="preserve">Под пул переданных ЦФА Банк России производит дополнительный выпуск денежных средств в форме безналичных рублей или цифрового рубля.</w:t>
      </w:r>
    </w:p>
    <w:p>
      <w:pPr>
        <w:pStyle w:val="Compact"/>
        <w:numPr>
          <w:ilvl w:val="0"/>
          <w:numId w:val="1007"/>
        </w:numPr>
      </w:pPr>
      <w:r>
        <w:t xml:space="preserve">Эмитированные средства зачисляются на специальный эскроу-счёт (либо специальный цифровой кошелёк цифрового рубля) под исключительным управлением Банка России.</w:t>
      </w:r>
    </w:p>
    <w:bookmarkEnd w:id="19"/>
    <w:bookmarkStart w:id="20" w:name="необходимые-регуляторные-действия"/>
    <w:p>
      <w:pPr>
        <w:pStyle w:val="Heading3"/>
      </w:pPr>
      <w:r>
        <w:t xml:space="preserve">4.3. Необходимые регуляторные действия</w:t>
      </w:r>
    </w:p>
    <w:p>
      <w:pPr>
        <w:pStyle w:val="FirstParagraph"/>
      </w:pPr>
      <w:r>
        <w:t xml:space="preserve">Для устранения правовой неопределённости и полного перевода модели в действующее правовое поле требуется внесение поправок в Закон №86-ФЗ (формализация института обеспеченной целевой эмиссии под пул залоговых ЦФА) и в Закон №259-ФЗ (введение категории «целевого инфраструктурного ЦФА» и регулирование процедуры мены). Полный пакет — в разделе 8.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Xd129ffd20e46beb838093531f81b0e4ed6ae803"/>
    <w:p>
      <w:pPr>
        <w:pStyle w:val="Heading2"/>
      </w:pPr>
      <w:r>
        <w:t xml:space="preserve">5. Специальные эскроу-счета под управлением Банка России</w:t>
      </w:r>
    </w:p>
    <w:bookmarkStart w:id="22" w:name="гражданско-правовая-основа"/>
    <w:p>
      <w:pPr>
        <w:pStyle w:val="Heading3"/>
      </w:pPr>
      <w:r>
        <w:t xml:space="preserve">5.1. Гражданско-правовая основа</w:t>
      </w:r>
    </w:p>
    <w:p>
      <w:pPr>
        <w:pStyle w:val="FirstParagraph"/>
      </w:pPr>
      <w:r>
        <w:t xml:space="preserve">Институт счёта эскроу установлен статьями 860.7–860.10 ГК РФ. Стороны договора счёта эскроу: владелец счёта, бенефициар, эскроу-агент (в ЦП РСФСР — Банк России).</w:t>
      </w:r>
    </w:p>
    <w:p>
      <w:pPr>
        <w:pStyle w:val="BodyText"/>
      </w:pPr>
      <w:r>
        <w:t xml:space="preserve">Базовая конструкция в проекте: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Владелец счёта</w:t>
      </w:r>
      <w:r>
        <w:t xml:space="preserve"> </w:t>
      </w:r>
      <w:r>
        <w:t xml:space="preserve">— оператор ЦП РСФСР как лицо, в чью пользу осуществлена эмиссия.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Бенефициар</w:t>
      </w:r>
      <w:r>
        <w:t xml:space="preserve"> </w:t>
      </w:r>
      <w:r>
        <w:t xml:space="preserve">— Российская Федерация в лице Федерального казначейства и распорядителей бюджетных средств.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Эскроу-агент</w:t>
      </w:r>
      <w:r>
        <w:t xml:space="preserve"> </w:t>
      </w:r>
      <w:r>
        <w:t xml:space="preserve">— Банк России.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Условие раскрытия счёта</w:t>
      </w:r>
      <w:r>
        <w:t xml:space="preserve"> </w:t>
      </w:r>
      <w:r>
        <w:t xml:space="preserve">— наступление событий смарт-контракта (подтверждение целевого расходования на нацпроекты, акт ввода объекта в эксплуатацию, мена ЦФА).</w:t>
      </w:r>
    </w:p>
    <w:bookmarkEnd w:id="22"/>
    <w:bookmarkStart w:id="23" w:name="цифровой-рубль-как-форма-расчёта"/>
    <w:p>
      <w:pPr>
        <w:pStyle w:val="Heading3"/>
      </w:pPr>
      <w:r>
        <w:t xml:space="preserve">5.2. Цифровой рубль как форма расчёта</w:t>
      </w:r>
    </w:p>
    <w:p>
      <w:pPr>
        <w:pStyle w:val="FirstParagraph"/>
      </w:pPr>
      <w:r>
        <w:t xml:space="preserve">Поскольку Банк России является оператором платформы цифрового рубля (пункт 1 главы X Закона №86-ФЗ в редакции №340-ФЗ), целевые средства могут учитываться в виде</w:t>
      </w:r>
      <w:r>
        <w:t xml:space="preserve"> </w:t>
      </w:r>
      <w:r>
        <w:rPr>
          <w:b/>
          <w:bCs/>
        </w:rPr>
        <w:t xml:space="preserve">специальных цифровых кошельков Банка России</w:t>
      </w:r>
      <w:r>
        <w:t xml:space="preserve">, что обеспечивает дополнительный технологический контроль за движением средств.</w:t>
      </w:r>
    </w:p>
    <w:bookmarkEnd w:id="23"/>
    <w:bookmarkStart w:id="24" w:name="запрет-на-свободный-оборот-средств"/>
    <w:p>
      <w:pPr>
        <w:pStyle w:val="Heading3"/>
      </w:pPr>
      <w:r>
        <w:t xml:space="preserve">5.3. Запрет на свободный оборот средств</w:t>
      </w:r>
    </w:p>
    <w:p>
      <w:pPr>
        <w:pStyle w:val="FirstParagraph"/>
      </w:pPr>
      <w:r>
        <w:t xml:space="preserve">В соответствии с пунктом 10 концепции автора</w:t>
      </w:r>
      <w:r>
        <w:t xml:space="preserve"> </w:t>
      </w:r>
      <w:r>
        <w:rPr>
          <w:b/>
          <w:bCs/>
        </w:rPr>
        <w:t xml:space="preserve">денежные средства используются в Банке России строго в соответствии с действующими ФЗ и государственными актами для реализации обозначенных задач</w:t>
      </w:r>
      <w:r>
        <w:t xml:space="preserve">. Этот запрет должен быть прямо закреплён на уровне:</w:t>
      </w:r>
    </w:p>
    <w:p>
      <w:pPr>
        <w:pStyle w:val="Compact"/>
        <w:numPr>
          <w:ilvl w:val="0"/>
          <w:numId w:val="1009"/>
        </w:numPr>
      </w:pPr>
      <w:r>
        <w:t xml:space="preserve">условий специального договора эскроу;</w:t>
      </w:r>
    </w:p>
    <w:p>
      <w:pPr>
        <w:pStyle w:val="Compact"/>
        <w:numPr>
          <w:ilvl w:val="0"/>
          <w:numId w:val="1009"/>
        </w:numPr>
      </w:pPr>
      <w:r>
        <w:t xml:space="preserve">внутреннего регламента Банка России;</w:t>
      </w:r>
    </w:p>
    <w:p>
      <w:pPr>
        <w:pStyle w:val="Compact"/>
        <w:numPr>
          <w:ilvl w:val="0"/>
          <w:numId w:val="1009"/>
        </w:numPr>
      </w:pPr>
      <w:r>
        <w:t xml:space="preserve">проекта Постановления Правительства Российской Федерации, регулирующего распределение средств целевой эмиссии.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залоговое-обременение-и-смарт-контракт"/>
    <w:p>
      <w:pPr>
        <w:pStyle w:val="Heading2"/>
      </w:pPr>
      <w:r>
        <w:t xml:space="preserve">6. Залоговое обременение и смарт-контракт</w:t>
      </w:r>
    </w:p>
    <w:bookmarkStart w:id="26" w:name="договорная-конструкция"/>
    <w:p>
      <w:pPr>
        <w:pStyle w:val="Heading3"/>
      </w:pPr>
      <w:r>
        <w:t xml:space="preserve">6.1. Договорная конструкция</w:t>
      </w:r>
    </w:p>
    <w:p>
      <w:pPr>
        <w:pStyle w:val="FirstParagraph"/>
      </w:pPr>
      <w:r>
        <w:t xml:space="preserve">Гражданско-правовая основа отношений собственника и платформы: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Договор смешанного типа</w:t>
      </w:r>
      <w:r>
        <w:t xml:space="preserve"> </w:t>
      </w:r>
      <w:r>
        <w:t xml:space="preserve">(статья 421 ГК) — соединяет элементы залога (главы 23 ГК), договора оказания услуг (глава 39 ГК), договора об эмиссии ЦФА (статьи 4, 7 Закона №259-ФЗ), договора об условном депонировании (статьи 926.1–926.8 ГК), договора страхования (глава 48 ГК) и договора счёта эскроу (статьи 860.7–860.10 ГК).</w:t>
      </w:r>
    </w:p>
    <w:p>
      <w:pPr>
        <w:pStyle w:val="Compact"/>
        <w:numPr>
          <w:ilvl w:val="0"/>
          <w:numId w:val="1010"/>
        </w:numPr>
      </w:pPr>
      <w:r>
        <w:t xml:space="preserve">Договор оформляется как</w:t>
      </w:r>
      <w:r>
        <w:t xml:space="preserve"> </w:t>
      </w:r>
      <w:r>
        <w:rPr>
          <w:b/>
          <w:bCs/>
        </w:rPr>
        <w:t xml:space="preserve">смарт-контракт</w:t>
      </w:r>
      <w:r>
        <w:t xml:space="preserve"> </w:t>
      </w:r>
      <w:r>
        <w:t xml:space="preserve">— машинно-исполняемое программное соглашение, юридическая сила которого закреплена пунктом 1 части 2 статьи 4 Закона №259-ФЗ и подкреплена статьями 309, 310 и 421 ГК.</w:t>
      </w:r>
    </w:p>
    <w:bookmarkEnd w:id="26"/>
    <w:bookmarkStart w:id="27" w:name="регистрация-обременения"/>
    <w:p>
      <w:pPr>
        <w:pStyle w:val="Heading3"/>
      </w:pPr>
      <w:r>
        <w:t xml:space="preserve">6.2. Регистрация обременения</w:t>
      </w:r>
    </w:p>
    <w:p>
      <w:pPr>
        <w:pStyle w:val="FirstParagraph"/>
      </w:pPr>
      <w:r>
        <w:t xml:space="preserve">Для недвижимого имущества обременение в форме залога регистрируется в Едином государственном реестре недвижимости в соответствии:</w:t>
      </w:r>
    </w:p>
    <w:p>
      <w:pPr>
        <w:pStyle w:val="Compact"/>
        <w:numPr>
          <w:ilvl w:val="0"/>
          <w:numId w:val="1011"/>
        </w:numPr>
      </w:pPr>
      <w:r>
        <w:t xml:space="preserve">со статьями 4, 8, 9, 14 Закона №218-ФЗ;</w:t>
      </w:r>
    </w:p>
    <w:p>
      <w:pPr>
        <w:pStyle w:val="Compact"/>
        <w:numPr>
          <w:ilvl w:val="0"/>
          <w:numId w:val="1011"/>
        </w:numPr>
      </w:pPr>
      <w:r>
        <w:t xml:space="preserve">со статьями 11, 19 Закона №102-ФЗ;</w:t>
      </w:r>
    </w:p>
    <w:p>
      <w:pPr>
        <w:pStyle w:val="Compact"/>
        <w:numPr>
          <w:ilvl w:val="0"/>
          <w:numId w:val="1011"/>
        </w:numPr>
      </w:pPr>
      <w:r>
        <w:t xml:space="preserve">с приказом Росреестра, регулирующим электронное взаимодействие.</w:t>
      </w:r>
    </w:p>
    <w:p>
      <w:pPr>
        <w:pStyle w:val="FirstParagraph"/>
      </w:pPr>
      <w:r>
        <w:t xml:space="preserve">Для движимого имущества — в реестре уведомлений о залоге движимого имущества Федеральной нотариальной палаты в порядке, установленном статьёй 339.1 ГК и Основами законодательства о нотариате.</w:t>
      </w:r>
    </w:p>
    <w:p>
      <w:pPr>
        <w:pStyle w:val="BodyText"/>
      </w:pPr>
      <w:r>
        <w:t xml:space="preserve">Для исключительных прав — государственная регистрация залога в Роспатенте (статья 1232, статья 1365 ГК).</w:t>
      </w:r>
    </w:p>
    <w:p>
      <w:pPr>
        <w:pStyle w:val="BodyText"/>
      </w:pPr>
      <w:r>
        <w:t xml:space="preserve">Для ценных бумаг — внесение записи об обременении у депозитария (статья 7 Закона №39-ФЗ).</w:t>
      </w:r>
    </w:p>
    <w:bookmarkEnd w:id="27"/>
    <w:bookmarkStart w:id="28" w:name="существенные-условия-смарт-контракта"/>
    <w:p>
      <w:pPr>
        <w:pStyle w:val="Heading3"/>
      </w:pPr>
      <w:r>
        <w:t xml:space="preserve">6.3. Существенные условия смарт-контракта</w:t>
      </w:r>
    </w:p>
    <w:p>
      <w:pPr>
        <w:pStyle w:val="FirstParagraph"/>
      </w:pPr>
      <w:r>
        <w:t xml:space="preserve">Согласно пункту 4 части 2 статьи 4 Закона №259-ФЗ и сложившейся регуляторной практике существенными условиями смарт-контракта ЦП РСФСР являются:</w:t>
      </w:r>
    </w:p>
    <w:p>
      <w:pPr>
        <w:pStyle w:val="Compact"/>
        <w:numPr>
          <w:ilvl w:val="0"/>
          <w:numId w:val="1012"/>
        </w:numPr>
      </w:pPr>
      <w:r>
        <w:t xml:space="preserve">идентификация владельца актива и оператора;</w:t>
      </w:r>
    </w:p>
    <w:p>
      <w:pPr>
        <w:pStyle w:val="Compact"/>
        <w:numPr>
          <w:ilvl w:val="0"/>
          <w:numId w:val="1012"/>
        </w:numPr>
      </w:pPr>
      <w:r>
        <w:t xml:space="preserve">характеристики и оценочная стоимость залогового актива;</w:t>
      </w:r>
    </w:p>
    <w:p>
      <w:pPr>
        <w:pStyle w:val="Compact"/>
        <w:numPr>
          <w:ilvl w:val="0"/>
          <w:numId w:val="1012"/>
        </w:numPr>
      </w:pPr>
      <w:r>
        <w:t xml:space="preserve">размер и порядок выпуска ЦФА;</w:t>
      </w:r>
    </w:p>
    <w:p>
      <w:pPr>
        <w:pStyle w:val="Compact"/>
        <w:numPr>
          <w:ilvl w:val="0"/>
          <w:numId w:val="1012"/>
        </w:numPr>
      </w:pPr>
      <w:r>
        <w:t xml:space="preserve">срок действия ЦФА и условия возврата;</w:t>
      </w:r>
    </w:p>
    <w:p>
      <w:pPr>
        <w:pStyle w:val="Compact"/>
        <w:numPr>
          <w:ilvl w:val="0"/>
          <w:numId w:val="1012"/>
        </w:numPr>
      </w:pPr>
      <w:r>
        <w:t xml:space="preserve">порядок и размер оплаты за выпуск и обслуживание ЦФА;</w:t>
      </w:r>
    </w:p>
    <w:p>
      <w:pPr>
        <w:pStyle w:val="Compact"/>
        <w:numPr>
          <w:ilvl w:val="0"/>
          <w:numId w:val="1012"/>
        </w:numPr>
      </w:pPr>
      <w:r>
        <w:t xml:space="preserve">размер и порядок вознаграждения собственнику залога;</w:t>
      </w:r>
    </w:p>
    <w:p>
      <w:pPr>
        <w:pStyle w:val="Compact"/>
        <w:numPr>
          <w:ilvl w:val="0"/>
          <w:numId w:val="1012"/>
        </w:numPr>
      </w:pPr>
      <w:r>
        <w:t xml:space="preserve">условия страхования рисков и порядок реализации страхового ЦФА;</w:t>
      </w:r>
    </w:p>
    <w:p>
      <w:pPr>
        <w:pStyle w:val="Compact"/>
        <w:numPr>
          <w:ilvl w:val="0"/>
          <w:numId w:val="1012"/>
        </w:numPr>
      </w:pPr>
      <w:r>
        <w:t xml:space="preserve">условия мены ЦФА после ввода нового объекта в эксплуатацию;</w:t>
      </w:r>
    </w:p>
    <w:p>
      <w:pPr>
        <w:pStyle w:val="Compact"/>
        <w:numPr>
          <w:ilvl w:val="0"/>
          <w:numId w:val="1012"/>
        </w:numPr>
      </w:pPr>
      <w:r>
        <w:t xml:space="preserve">порядок подписания Акта о взаиморасчётах;</w:t>
      </w:r>
    </w:p>
    <w:p>
      <w:pPr>
        <w:pStyle w:val="Compact"/>
        <w:numPr>
          <w:ilvl w:val="0"/>
          <w:numId w:val="1012"/>
        </w:numPr>
      </w:pPr>
      <w:r>
        <w:t xml:space="preserve">порядок снятия обременения и возврата имущества собственнику.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X7e879a7cd29579237ef3061c7bbddf6a9ed3bf5"/>
    <w:p>
      <w:pPr>
        <w:pStyle w:val="Heading2"/>
      </w:pPr>
      <w:r>
        <w:t xml:space="preserve">7. Мена ЦФА после ввода объекта в эксплуатацию</w:t>
      </w:r>
    </w:p>
    <w:bookmarkStart w:id="30" w:name="правовая-конструкция"/>
    <w:p>
      <w:pPr>
        <w:pStyle w:val="Heading3"/>
      </w:pPr>
      <w:r>
        <w:t xml:space="preserve">7.1. Правовая конструкция</w:t>
      </w:r>
    </w:p>
    <w:p>
      <w:pPr>
        <w:pStyle w:val="FirstParagraph"/>
      </w:pPr>
      <w:r>
        <w:t xml:space="preserve">Мена ЦФА юридически реализуется как:</w:t>
      </w:r>
    </w:p>
    <w:p>
      <w:pPr>
        <w:pStyle w:val="Compact"/>
        <w:numPr>
          <w:ilvl w:val="0"/>
          <w:numId w:val="1013"/>
        </w:numPr>
      </w:pPr>
      <w:r>
        <w:t xml:space="preserve">замена предмета залога в смысле статьи 345 ГК (с согласия залогодержателя — Банка России);</w:t>
      </w:r>
    </w:p>
    <w:p>
      <w:pPr>
        <w:pStyle w:val="Compact"/>
        <w:numPr>
          <w:ilvl w:val="0"/>
          <w:numId w:val="1013"/>
        </w:numPr>
      </w:pPr>
      <w:r>
        <w:t xml:space="preserve">одновременное прекращение первоначального ЦФА собственника и выпуск нового ЦФА на построенный объект (статьи 4, 7 Закона №259-ФЗ);</w:t>
      </w:r>
    </w:p>
    <w:p>
      <w:pPr>
        <w:pStyle w:val="Compact"/>
        <w:numPr>
          <w:ilvl w:val="0"/>
          <w:numId w:val="1013"/>
        </w:numPr>
      </w:pPr>
      <w:r>
        <w:t xml:space="preserve">автоматическое исполнение условий смарт-контракта (статья 309 ГК).</w:t>
      </w:r>
    </w:p>
    <w:p>
      <w:pPr>
        <w:pStyle w:val="FirstParagraph"/>
      </w:pPr>
      <w:r>
        <w:t xml:space="preserve">Принципиальное условие:</w:t>
      </w:r>
      <w:r>
        <w:t xml:space="preserve"> </w:t>
      </w:r>
      <w:r>
        <w:rPr>
          <w:b/>
          <w:bCs/>
        </w:rPr>
        <w:t xml:space="preserve">стоимость нового ЦФА всегда превышает стоимость первоначального ЦФА</w:t>
      </w:r>
      <w:r>
        <w:t xml:space="preserve">, что покрывает расходы Банка России на привлечение и обслуживание ЦФА и обеспечивает экономическую устойчивость модели (пункты 6 и 7 описания предложения исходной презентации).</w:t>
      </w:r>
    </w:p>
    <w:bookmarkEnd w:id="30"/>
    <w:bookmarkStart w:id="31" w:name="налоговые-последствия"/>
    <w:p>
      <w:pPr>
        <w:pStyle w:val="Heading3"/>
      </w:pPr>
      <w:r>
        <w:t xml:space="preserve">7.2. Налоговые последствия</w:t>
      </w:r>
    </w:p>
    <w:p>
      <w:pPr>
        <w:pStyle w:val="Compact"/>
        <w:numPr>
          <w:ilvl w:val="0"/>
          <w:numId w:val="1014"/>
        </w:numPr>
      </w:pPr>
      <w:r>
        <w:t xml:space="preserve">Для собственника физического лица: операция мены ЦФА на возмездное обременение (включая получение вознаграждения) формирует налогооблагаемую базу по НДФЛ в соответствии со статьёй 214.11 НК РФ. Применяется ставка 13% (15% для доходов свыше 5 млн ₽ в год по прогрессивной шкале НК).</w:t>
      </w:r>
    </w:p>
    <w:p>
      <w:pPr>
        <w:pStyle w:val="Compact"/>
        <w:numPr>
          <w:ilvl w:val="0"/>
          <w:numId w:val="1014"/>
        </w:numPr>
      </w:pPr>
      <w:r>
        <w:t xml:space="preserve">Для собственника юридического лица: соответствующие доходы учитываются в составе налогооблагаемой прибыли (глава 25 НК), при этом расходы на выпуск и обслуживание ЦФА — в составе расходов в общем порядке.</w:t>
      </w:r>
    </w:p>
    <w:p>
      <w:pPr>
        <w:pStyle w:val="Compact"/>
        <w:numPr>
          <w:ilvl w:val="0"/>
          <w:numId w:val="1014"/>
        </w:numPr>
      </w:pPr>
      <w:r>
        <w:t xml:space="preserve">НДС не возникает по операциям эмиссии и обращения ЦФА в случаях, предусмотренных подпунктами 1 и 38 пункта 2 статьи 149 НК РФ.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X182c194d6544507574faf75632e87d1632ed201"/>
    <w:p>
      <w:pPr>
        <w:pStyle w:val="Heading2"/>
      </w:pPr>
      <w:r>
        <w:t xml:space="preserve">8. Пакет нормативных актов, требующих принятия или изменения</w:t>
      </w:r>
    </w:p>
    <w:p>
      <w:pPr>
        <w:pStyle w:val="FirstParagraph"/>
      </w:pPr>
      <w:r>
        <w:t xml:space="preserve">Для полномасштабного запуска ЦП РСФСР требуется принятие пакета нормативных актов в следующей структуре:</w:t>
      </w:r>
    </w:p>
    <w:bookmarkStart w:id="33" w:name="уровень-федеральных-законов"/>
    <w:p>
      <w:pPr>
        <w:pStyle w:val="Heading3"/>
      </w:pPr>
      <w:r>
        <w:t xml:space="preserve">8.1. Уровень федеральных законов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Проект федерального закона «О внесении изменений в Федеральный закон „О Центральном банке Российской Федерации (Банке России)“ в части регулирования целевой обеспеченной эмиссии под пул цифровых финансовых активов».</w:t>
      </w:r>
      <w:r>
        <w:t xml:space="preserve"> </w:t>
      </w:r>
      <w:r>
        <w:t xml:space="preserve">Предметы регулирования: введение института целевой эмиссии под обеспеченные ЦФА; полномочия Банка России как эскроу-агента; режим специального цифрового кошелька целевой эмиссии; запрет на оборот ЦФА вне платформы.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Проект федерального закона «О внесении изменений в Федеральный закон „О цифровых финансовых активах…“ в части введения категории целевых инфраструктурных ЦФА и регулирования процедуры мены ЦФА».</w:t>
      </w:r>
      <w:r>
        <w:t xml:space="preserve"> </w:t>
      </w:r>
      <w:r>
        <w:t xml:space="preserve">Предметы регулирования: категория «целевой инфраструктурный ЦФА»; ограничения оборота; процедура мены; особый правовой режим страховых ЦФА.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Проект федерального закона «О внесении изменений в Бюджетный кодекс Российской Федерации в части порядка приёма Федеральным казначейством средств целевой обеспеченной эмиссии».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Проект федерального закона «О внесении изменений в Гражданский кодекс Российской Федерации» в части распространения института счёта эскроу на специальные счета Банка России для размещения средств обеспеченной целевой эмиссии</w:t>
      </w:r>
      <w:r>
        <w:t xml:space="preserve">.</w:t>
      </w:r>
    </w:p>
    <w:bookmarkEnd w:id="33"/>
    <w:bookmarkStart w:id="34" w:name="уровень-подзаконных-нормативных-актов"/>
    <w:p>
      <w:pPr>
        <w:pStyle w:val="Heading3"/>
      </w:pPr>
      <w:r>
        <w:t xml:space="preserve">8.2. Уровень подзаконных нормативных актов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Постановление Правительства Российской Федерации «О порядке использования средств целевой обеспеченной эмиссии для финансирования национальных и инфраструктурных проектов».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Указание Банка России «О лицензионных требованиях к оператору информационной системы, в которой осуществляется выпуск целевых инфраструктурных ЦФА (Цифровой Платформы РСФСР)».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Положение Банка России «О требованиях к страхованию цифровых финансовых активов в системе целевого инфраструктурного финансирования».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Совместный приказ Минфина России / Банка России / Минцифры России / Росреестра / Федерального казначейства «Об организации информационного взаимодействия Цифровой Платформы РСФСР с государственными информационными системами».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Приказ ФСТЭК России / ФСБ России о требованиях к защите информации в информационной системе ЦП РСФСР как объекте критической информационной инфраструктуры.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Стандарт Банка России на методику оценки залоговых активов для целей выпуска ЦФА на платформе ЦП РСФСР.</w:t>
      </w:r>
    </w:p>
    <w:bookmarkEnd w:id="34"/>
    <w:bookmarkStart w:id="35" w:name="уровень-внутренних-документов-оператора"/>
    <w:p>
      <w:pPr>
        <w:pStyle w:val="Heading3"/>
      </w:pPr>
      <w:r>
        <w:t xml:space="preserve">8.3. Уровень внутренних документов оператора</w:t>
      </w:r>
    </w:p>
    <w:p>
      <w:pPr>
        <w:pStyle w:val="Compact"/>
        <w:numPr>
          <w:ilvl w:val="0"/>
          <w:numId w:val="1017"/>
        </w:numPr>
      </w:pPr>
      <w:r>
        <w:t xml:space="preserve">Правила информационной системы ЦП РСФСР (пункт 2 статьи 6 Закона №259-ФЗ) — основной публичный документ платформы.</w:t>
      </w:r>
    </w:p>
    <w:p>
      <w:pPr>
        <w:pStyle w:val="Compact"/>
        <w:numPr>
          <w:ilvl w:val="0"/>
          <w:numId w:val="1017"/>
        </w:numPr>
      </w:pPr>
      <w:r>
        <w:t xml:space="preserve">Правила внутреннего контроля по 115-ФЗ.</w:t>
      </w:r>
    </w:p>
    <w:p>
      <w:pPr>
        <w:pStyle w:val="Compact"/>
        <w:numPr>
          <w:ilvl w:val="0"/>
          <w:numId w:val="1017"/>
        </w:numPr>
      </w:pPr>
      <w:r>
        <w:t xml:space="preserve">Политика обработки персональных данных (152-ФЗ).</w:t>
      </w:r>
    </w:p>
    <w:p>
      <w:pPr>
        <w:pStyle w:val="Compact"/>
        <w:numPr>
          <w:ilvl w:val="0"/>
          <w:numId w:val="1017"/>
        </w:numPr>
      </w:pPr>
      <w:r>
        <w:t xml:space="preserve">Политика информационной безопасности и регламент управления инцидентами (683-П, 6635-У).</w:t>
      </w:r>
    </w:p>
    <w:p>
      <w:pPr>
        <w:pStyle w:val="Compact"/>
        <w:numPr>
          <w:ilvl w:val="0"/>
          <w:numId w:val="1017"/>
        </w:numPr>
      </w:pPr>
      <w:r>
        <w:t xml:space="preserve">Регламент управления операционным риском (716-П).</w:t>
      </w:r>
    </w:p>
    <w:p>
      <w:pPr>
        <w:pStyle w:val="Compact"/>
        <w:numPr>
          <w:ilvl w:val="0"/>
          <w:numId w:val="1017"/>
        </w:numPr>
      </w:pPr>
      <w:r>
        <w:t xml:space="preserve">Регламент управления конфликтом интересов.</w:t>
      </w:r>
    </w:p>
    <w:p>
      <w:pPr>
        <w:pStyle w:val="Compact"/>
        <w:numPr>
          <w:ilvl w:val="0"/>
          <w:numId w:val="1017"/>
        </w:numPr>
      </w:pPr>
      <w:r>
        <w:t xml:space="preserve">Стандартный смарт-контракт ЦФА (типовая форма для физических и юридических лиц).</w:t>
      </w:r>
    </w:p>
    <w:p>
      <w:pPr>
        <w:pStyle w:val="Compact"/>
        <w:numPr>
          <w:ilvl w:val="0"/>
          <w:numId w:val="1017"/>
        </w:numPr>
      </w:pPr>
      <w:r>
        <w:t xml:space="preserve">Регламент работы с оценочными организациями-партнёрами.</w:t>
      </w:r>
    </w:p>
    <w:p>
      <w:pPr>
        <w:pStyle w:val="Compact"/>
        <w:numPr>
          <w:ilvl w:val="0"/>
          <w:numId w:val="1017"/>
        </w:numPr>
      </w:pPr>
      <w:r>
        <w:t xml:space="preserve">Регламент работы со страховыми организациями-партнёрами.</w:t>
      </w:r>
    </w:p>
    <w:p>
      <w:pPr>
        <w:pStyle w:val="Compact"/>
        <w:numPr>
          <w:ilvl w:val="0"/>
          <w:numId w:val="1017"/>
        </w:numPr>
      </w:pPr>
      <w:r>
        <w:t xml:space="preserve">Регламент взаимодействия с Банком России и Федеральным казначейством.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X08ef3042a6fe4f600ab37c6e808ad459bbab4e4"/>
    <w:p>
      <w:pPr>
        <w:pStyle w:val="Heading2"/>
      </w:pPr>
      <w:r>
        <w:t xml:space="preserve">9. Лицензирование и порядок включения в реестр Банка России</w:t>
      </w:r>
    </w:p>
    <w:bookmarkStart w:id="37" w:name="этапы"/>
    <w:p>
      <w:pPr>
        <w:pStyle w:val="Heading3"/>
      </w:pPr>
      <w:r>
        <w:t xml:space="preserve">9.1. Этапы</w:t>
      </w:r>
    </w:p>
    <w:p>
      <w:pPr>
        <w:pStyle w:val="FirstParagraph"/>
      </w:pPr>
      <w:r>
        <w:t xml:space="preserve">В соответствии со статьёй 5 Закона №259-ФЗ и Положением Банка России №779-П оператор проходит следующие этапы: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Подготовка пакета документов</w:t>
      </w:r>
      <w:r>
        <w:t xml:space="preserve"> </w:t>
      </w:r>
      <w:r>
        <w:t xml:space="preserve">(правила ИС, корпоративные документы, внутренние политики, описание программно-аппаратного комплекса, документы по информационной безопасности).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Подача заявления</w:t>
      </w:r>
      <w:r>
        <w:t xml:space="preserve"> </w:t>
      </w:r>
      <w:r>
        <w:t xml:space="preserve">в Банк России с приложением полного пакета.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Рассмотрение заявления</w:t>
      </w:r>
      <w:r>
        <w:t xml:space="preserve"> </w:t>
      </w:r>
      <w:r>
        <w:t xml:space="preserve">в установленный срок (как правило, не более 30 рабочих дней с момента представления полного пакета).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Включение в реестр</w:t>
      </w:r>
      <w:r>
        <w:t xml:space="preserve"> </w:t>
      </w:r>
      <w:r>
        <w:t xml:space="preserve">операторов информационных систем или мотивированный отказ.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Внесение сведений</w:t>
      </w:r>
      <w:r>
        <w:t xml:space="preserve"> </w:t>
      </w:r>
      <w:r>
        <w:t xml:space="preserve">в публичный реестр Банка России.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Постоянный надзор</w:t>
      </w:r>
      <w:r>
        <w:t xml:space="preserve"> </w:t>
      </w:r>
      <w:r>
        <w:t xml:space="preserve">в порядке статей 76.1–76.5 Закона №86-ФЗ.</w:t>
      </w:r>
    </w:p>
    <w:bookmarkEnd w:id="37"/>
    <w:bookmarkStart w:id="38" w:name="X9486c131ec08abed6e5c8b86bde37022ced625d"/>
    <w:p>
      <w:pPr>
        <w:pStyle w:val="Heading3"/>
      </w:pPr>
      <w:r>
        <w:t xml:space="preserve">9.2. Ключевые проверочные позиции при включении в реестр</w:t>
      </w:r>
    </w:p>
    <w:p>
      <w:pPr>
        <w:pStyle w:val="Compact"/>
        <w:numPr>
          <w:ilvl w:val="0"/>
          <w:numId w:val="1019"/>
        </w:numPr>
      </w:pPr>
      <w:r>
        <w:t xml:space="preserve">наличие достаточных собственных средств;</w:t>
      </w:r>
    </w:p>
    <w:p>
      <w:pPr>
        <w:pStyle w:val="Compact"/>
        <w:numPr>
          <w:ilvl w:val="0"/>
          <w:numId w:val="1019"/>
        </w:numPr>
      </w:pPr>
      <w:r>
        <w:t xml:space="preserve">наличие сертифицированных средств защиты информации;</w:t>
      </w:r>
    </w:p>
    <w:p>
      <w:pPr>
        <w:pStyle w:val="Compact"/>
        <w:numPr>
          <w:ilvl w:val="0"/>
          <w:numId w:val="1019"/>
        </w:numPr>
      </w:pPr>
      <w:r>
        <w:t xml:space="preserve">соответствие правил информационной системы требованиям статьи 6 Закона №259-ФЗ;</w:t>
      </w:r>
    </w:p>
    <w:p>
      <w:pPr>
        <w:pStyle w:val="Compact"/>
        <w:numPr>
          <w:ilvl w:val="0"/>
          <w:numId w:val="1019"/>
        </w:numPr>
      </w:pPr>
      <w:r>
        <w:t xml:space="preserve">наличие лиц, отвечающих требованиям к деловой репутации;</w:t>
      </w:r>
    </w:p>
    <w:p>
      <w:pPr>
        <w:pStyle w:val="Compact"/>
        <w:numPr>
          <w:ilvl w:val="0"/>
          <w:numId w:val="1019"/>
        </w:numPr>
      </w:pPr>
      <w:r>
        <w:t xml:space="preserve">наличие системы внутреннего контроля и системы управления рисками;</w:t>
      </w:r>
    </w:p>
    <w:p>
      <w:pPr>
        <w:pStyle w:val="Compact"/>
        <w:numPr>
          <w:ilvl w:val="0"/>
          <w:numId w:val="1019"/>
        </w:numPr>
      </w:pPr>
      <w:r>
        <w:t xml:space="preserve">наличие политики ПОД/ФТ.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X62534ca12f1806581a7564e1d5916596213cd14"/>
    <w:p>
      <w:pPr>
        <w:pStyle w:val="Heading2"/>
      </w:pPr>
      <w:r>
        <w:t xml:space="preserve">10. Идентификация и противодействие легализации</w:t>
      </w:r>
    </w:p>
    <w:bookmarkStart w:id="40" w:name="kyc"/>
    <w:p>
      <w:pPr>
        <w:pStyle w:val="Heading3"/>
      </w:pPr>
      <w:r>
        <w:t xml:space="preserve">10.1. KYC</w:t>
      </w:r>
    </w:p>
    <w:p>
      <w:pPr>
        <w:pStyle w:val="FirstParagraph"/>
      </w:pPr>
      <w:r>
        <w:t xml:space="preserve">Идентификация клиентов осуществляется в соответствии:</w:t>
      </w:r>
    </w:p>
    <w:p>
      <w:pPr>
        <w:pStyle w:val="Compact"/>
        <w:numPr>
          <w:ilvl w:val="0"/>
          <w:numId w:val="1020"/>
        </w:numPr>
      </w:pPr>
      <w:r>
        <w:t xml:space="preserve">со статьёй 7 Закона №115-ФЗ;</w:t>
      </w:r>
    </w:p>
    <w:p>
      <w:pPr>
        <w:pStyle w:val="Compact"/>
        <w:numPr>
          <w:ilvl w:val="0"/>
          <w:numId w:val="1020"/>
        </w:numPr>
      </w:pPr>
      <w:r>
        <w:t xml:space="preserve">с Положением Банка России №499-П от 15.10.2015;</w:t>
      </w:r>
    </w:p>
    <w:p>
      <w:pPr>
        <w:pStyle w:val="Compact"/>
        <w:numPr>
          <w:ilvl w:val="0"/>
          <w:numId w:val="1020"/>
        </w:numPr>
      </w:pPr>
      <w:r>
        <w:t xml:space="preserve">с использованием Единой системы идентификации и аутентификации (ЕСИА; Постановление Правительства Российской Федерации от 10.07.2013 №584);</w:t>
      </w:r>
    </w:p>
    <w:p>
      <w:pPr>
        <w:pStyle w:val="Compact"/>
        <w:numPr>
          <w:ilvl w:val="0"/>
          <w:numId w:val="1020"/>
        </w:numPr>
      </w:pPr>
      <w:r>
        <w:t xml:space="preserve">с использованием Единой биометрической системы (ЕБС; Положение Банка России №482-П).</w:t>
      </w:r>
    </w:p>
    <w:p>
      <w:pPr>
        <w:pStyle w:val="FirstParagraph"/>
      </w:pPr>
      <w:r>
        <w:t xml:space="preserve">Возможна</w:t>
      </w:r>
      <w:r>
        <w:t xml:space="preserve"> </w:t>
      </w:r>
      <w:r>
        <w:rPr>
          <w:b/>
          <w:bCs/>
        </w:rPr>
        <w:t xml:space="preserve">упрощённая идентификация</w:t>
      </w:r>
      <w:r>
        <w:t xml:space="preserve"> </w:t>
      </w:r>
      <w:r>
        <w:t xml:space="preserve">в случаях, прямо предусмотренных пунктом 1.4-2 статьи 7 Закона №115-ФЗ для операций с ЦФА.</w:t>
      </w:r>
    </w:p>
    <w:bookmarkEnd w:id="40"/>
    <w:bookmarkStart w:id="41" w:name="мониторинг-операций"/>
    <w:p>
      <w:pPr>
        <w:pStyle w:val="Heading3"/>
      </w:pPr>
      <w:r>
        <w:t xml:space="preserve">10.2. Мониторинг операций</w:t>
      </w:r>
    </w:p>
    <w:p>
      <w:pPr>
        <w:pStyle w:val="FirstParagraph"/>
      </w:pPr>
      <w:r>
        <w:t xml:space="preserve">Оператор обязан:</w:t>
      </w:r>
    </w:p>
    <w:p>
      <w:pPr>
        <w:pStyle w:val="Compact"/>
        <w:numPr>
          <w:ilvl w:val="0"/>
          <w:numId w:val="1021"/>
        </w:numPr>
      </w:pPr>
      <w:r>
        <w:t xml:space="preserve">осуществлять обязательный контроль операций, подпадающих под статью 6 Закона №115-ФЗ;</w:t>
      </w:r>
    </w:p>
    <w:p>
      <w:pPr>
        <w:pStyle w:val="Compact"/>
        <w:numPr>
          <w:ilvl w:val="0"/>
          <w:numId w:val="1021"/>
        </w:numPr>
      </w:pPr>
      <w:r>
        <w:t xml:space="preserve">направлять сведения в Росфинмониторинг в установленных формах и сроках;</w:t>
      </w:r>
    </w:p>
    <w:p>
      <w:pPr>
        <w:pStyle w:val="Compact"/>
        <w:numPr>
          <w:ilvl w:val="0"/>
          <w:numId w:val="1021"/>
        </w:numPr>
      </w:pPr>
      <w:r>
        <w:t xml:space="preserve">применять риск-ориентированный подход и фиксировать подозрительные операции (статья 7 Закона №115-ФЗ).</w:t>
      </w:r>
    </w:p>
    <w:bookmarkEnd w:id="41"/>
    <w:bookmarkStart w:id="42" w:name="особенности-по-цфа"/>
    <w:p>
      <w:pPr>
        <w:pStyle w:val="Heading3"/>
      </w:pPr>
      <w:r>
        <w:t xml:space="preserve">10.3. Особенности по ЦФА</w:t>
      </w:r>
    </w:p>
    <w:p>
      <w:pPr>
        <w:pStyle w:val="FirstParagraph"/>
      </w:pPr>
      <w:r>
        <w:t xml:space="preserve">Пункт 1.4-2 статьи 7 Закона №115-ФЗ содержит специальные требования к идентификации при операциях с ЦФА, которые в полном объёме реализуются в KYC-модуле платформы.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X8d5b332cd1e276cbad4cd2c2dfeabcb890bec03"/>
    <w:p>
      <w:pPr>
        <w:pStyle w:val="Heading2"/>
      </w:pPr>
      <w:r>
        <w:t xml:space="preserve">11. Персональные данные и критическая информационная инфраструктура</w:t>
      </w:r>
    </w:p>
    <w:bookmarkStart w:id="44" w:name="персональные-данные-152-фз"/>
    <w:p>
      <w:pPr>
        <w:pStyle w:val="Heading3"/>
      </w:pPr>
      <w:r>
        <w:t xml:space="preserve">11.1. Персональные данные (152-ФЗ)</w:t>
      </w:r>
    </w:p>
    <w:p>
      <w:pPr>
        <w:pStyle w:val="FirstParagraph"/>
      </w:pPr>
      <w:r>
        <w:t xml:space="preserve">Оператор ЦП РСФСР является</w:t>
      </w:r>
      <w:r>
        <w:t xml:space="preserve"> </w:t>
      </w:r>
      <w:r>
        <w:rPr>
          <w:b/>
          <w:bCs/>
        </w:rPr>
        <w:t xml:space="preserve">оператором персональных данных</w:t>
      </w:r>
      <w:r>
        <w:t xml:space="preserve"> </w:t>
      </w:r>
      <w:r>
        <w:t xml:space="preserve">в смысле пункта 2 статьи 3 Закона №152-ФЗ. Обязанности:</w:t>
      </w:r>
    </w:p>
    <w:p>
      <w:pPr>
        <w:pStyle w:val="Compact"/>
        <w:numPr>
          <w:ilvl w:val="0"/>
          <w:numId w:val="1022"/>
        </w:numPr>
      </w:pPr>
      <w:r>
        <w:t xml:space="preserve">наличие политики обработки персональных данных (статья 18.1);</w:t>
      </w:r>
    </w:p>
    <w:p>
      <w:pPr>
        <w:pStyle w:val="Compact"/>
        <w:numPr>
          <w:ilvl w:val="0"/>
          <w:numId w:val="1022"/>
        </w:numPr>
      </w:pPr>
      <w:r>
        <w:t xml:space="preserve">получение согласий субъектов;</w:t>
      </w:r>
    </w:p>
    <w:p>
      <w:pPr>
        <w:pStyle w:val="Compact"/>
        <w:numPr>
          <w:ilvl w:val="0"/>
          <w:numId w:val="1022"/>
        </w:numPr>
      </w:pPr>
      <w:r>
        <w:t xml:space="preserve">обеспечение требований защиты ПДн (статья 19);</w:t>
      </w:r>
    </w:p>
    <w:p>
      <w:pPr>
        <w:pStyle w:val="Compact"/>
        <w:numPr>
          <w:ilvl w:val="0"/>
          <w:numId w:val="1022"/>
        </w:numPr>
      </w:pPr>
      <w:r>
        <w:t xml:space="preserve">регистрация в реестре операторов Роскомнадзора;</w:t>
      </w:r>
    </w:p>
    <w:p>
      <w:pPr>
        <w:pStyle w:val="Compact"/>
        <w:numPr>
          <w:ilvl w:val="0"/>
          <w:numId w:val="1022"/>
        </w:numPr>
      </w:pPr>
      <w:r>
        <w:t xml:space="preserve">соответствие уровню защищённости персональных данных не ниже</w:t>
      </w:r>
      <w:r>
        <w:t xml:space="preserve"> </w:t>
      </w:r>
      <w:r>
        <w:rPr>
          <w:b/>
          <w:bCs/>
        </w:rPr>
        <w:t xml:space="preserve">УЗ-1</w:t>
      </w:r>
      <w:r>
        <w:t xml:space="preserve"> </w:t>
      </w:r>
      <w:r>
        <w:t xml:space="preserve">в соответствии с Постановлением Правительства Российской Федерации от 01.11.2012 №1119;</w:t>
      </w:r>
    </w:p>
    <w:p>
      <w:pPr>
        <w:pStyle w:val="Compact"/>
        <w:numPr>
          <w:ilvl w:val="0"/>
          <w:numId w:val="1022"/>
        </w:numPr>
      </w:pPr>
      <w:r>
        <w:t xml:space="preserve">соответствие приказу ФСТЭК России №21 (требования к защите ПДн в ИСПДн).</w:t>
      </w:r>
    </w:p>
    <w:bookmarkEnd w:id="44"/>
    <w:bookmarkStart w:id="45" w:name="Xd3fae47f852b3506203560569687b642de606c9"/>
    <w:p>
      <w:pPr>
        <w:pStyle w:val="Heading3"/>
      </w:pPr>
      <w:r>
        <w:t xml:space="preserve">11.2. Критическая информационная инфраструктура (187-ФЗ)</w:t>
      </w:r>
    </w:p>
    <w:p>
      <w:pPr>
        <w:pStyle w:val="FirstParagraph"/>
      </w:pPr>
      <w:r>
        <w:t xml:space="preserve">Информационная система ЦП РСФСР подпадает под определение объекта КИИ:</w:t>
      </w:r>
    </w:p>
    <w:p>
      <w:pPr>
        <w:pStyle w:val="Compact"/>
        <w:numPr>
          <w:ilvl w:val="0"/>
          <w:numId w:val="1023"/>
        </w:numPr>
      </w:pPr>
      <w:r>
        <w:t xml:space="preserve">сфера: «банковская сфера и иные сферы финансового рынка» (статья 2 Закона №187-ФЗ);</w:t>
      </w:r>
    </w:p>
    <w:p>
      <w:pPr>
        <w:pStyle w:val="Compact"/>
        <w:numPr>
          <w:ilvl w:val="0"/>
          <w:numId w:val="1023"/>
        </w:numPr>
      </w:pPr>
      <w:r>
        <w:t xml:space="preserve">категория значимости:</w:t>
      </w:r>
      <w:r>
        <w:t xml:space="preserve"> </w:t>
      </w:r>
      <w:r>
        <w:rPr>
          <w:b/>
          <w:bCs/>
        </w:rPr>
        <w:t xml:space="preserve">первая (наивысшая)</w:t>
      </w:r>
      <w:r>
        <w:t xml:space="preserve"> </w:t>
      </w:r>
      <w:r>
        <w:t xml:space="preserve">— с учётом масштабов потенциальных социальных, политических и экономических последствий нарушения работы.</w:t>
      </w:r>
    </w:p>
    <w:p>
      <w:pPr>
        <w:pStyle w:val="FirstParagraph"/>
      </w:pPr>
      <w:r>
        <w:t xml:space="preserve">Обязанности субъекта КИИ (статьи 7, 9 Закона №187-ФЗ):</w:t>
      </w:r>
    </w:p>
    <w:p>
      <w:pPr>
        <w:pStyle w:val="Compact"/>
        <w:numPr>
          <w:ilvl w:val="0"/>
          <w:numId w:val="1024"/>
        </w:numPr>
      </w:pPr>
      <w:r>
        <w:t xml:space="preserve">категорирование объектов КИИ;</w:t>
      </w:r>
    </w:p>
    <w:p>
      <w:pPr>
        <w:pStyle w:val="Compact"/>
        <w:numPr>
          <w:ilvl w:val="0"/>
          <w:numId w:val="1024"/>
        </w:numPr>
      </w:pPr>
      <w:r>
        <w:t xml:space="preserve">взаимодействие с Государственной системой обнаружения, предупреждения и ликвидации последствий компьютерных атак (ГосСОПКА);</w:t>
      </w:r>
    </w:p>
    <w:p>
      <w:pPr>
        <w:pStyle w:val="Compact"/>
        <w:numPr>
          <w:ilvl w:val="0"/>
          <w:numId w:val="1024"/>
        </w:numPr>
      </w:pPr>
      <w:r>
        <w:t xml:space="preserve">выполнение требований ФСТЭК России (приказ №239) и ФСБ России;</w:t>
      </w:r>
    </w:p>
    <w:p>
      <w:pPr>
        <w:pStyle w:val="Compact"/>
        <w:numPr>
          <w:ilvl w:val="0"/>
          <w:numId w:val="1024"/>
        </w:numPr>
      </w:pPr>
      <w:r>
        <w:t xml:space="preserve">информирование о компьютерных инцидентах.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корпоративная-структура-оператора"/>
    <w:p>
      <w:pPr>
        <w:pStyle w:val="Heading2"/>
      </w:pPr>
      <w:r>
        <w:t xml:space="preserve">12. Корпоративная структура оператора</w:t>
      </w:r>
    </w:p>
    <w:bookmarkStart w:id="47" w:name="минимальный-состав-внутренних-документов"/>
    <w:p>
      <w:pPr>
        <w:pStyle w:val="Heading3"/>
      </w:pPr>
      <w:r>
        <w:t xml:space="preserve">12.1. Минимальный состав внутренних документов</w:t>
      </w:r>
    </w:p>
    <w:p>
      <w:pPr>
        <w:pStyle w:val="Compact"/>
        <w:numPr>
          <w:ilvl w:val="0"/>
          <w:numId w:val="1025"/>
        </w:numPr>
      </w:pPr>
      <w:r>
        <w:t xml:space="preserve">Устав акционерного общества.</w:t>
      </w:r>
    </w:p>
    <w:p>
      <w:pPr>
        <w:pStyle w:val="Compact"/>
        <w:numPr>
          <w:ilvl w:val="0"/>
          <w:numId w:val="1025"/>
        </w:numPr>
      </w:pPr>
      <w:r>
        <w:t xml:space="preserve">Положение о совете директоров и комитетах (аудит, риски, IT, вознаграждения).</w:t>
      </w:r>
    </w:p>
    <w:p>
      <w:pPr>
        <w:pStyle w:val="Compact"/>
        <w:numPr>
          <w:ilvl w:val="0"/>
          <w:numId w:val="1025"/>
        </w:numPr>
      </w:pPr>
      <w:r>
        <w:t xml:space="preserve">Положение о правлении.</w:t>
      </w:r>
    </w:p>
    <w:p>
      <w:pPr>
        <w:pStyle w:val="Compact"/>
        <w:numPr>
          <w:ilvl w:val="0"/>
          <w:numId w:val="1025"/>
        </w:numPr>
      </w:pPr>
      <w:r>
        <w:t xml:space="preserve">Положение о службе внутреннего аудита.</w:t>
      </w:r>
    </w:p>
    <w:p>
      <w:pPr>
        <w:pStyle w:val="Compact"/>
        <w:numPr>
          <w:ilvl w:val="0"/>
          <w:numId w:val="1025"/>
        </w:numPr>
      </w:pPr>
      <w:r>
        <w:t xml:space="preserve">Положение о подразделении управления рисками.</w:t>
      </w:r>
    </w:p>
    <w:p>
      <w:pPr>
        <w:pStyle w:val="Compact"/>
        <w:numPr>
          <w:ilvl w:val="0"/>
          <w:numId w:val="1025"/>
        </w:numPr>
      </w:pPr>
      <w:r>
        <w:t xml:space="preserve">Положение о подразделении внутреннего контроля.</w:t>
      </w:r>
    </w:p>
    <w:p>
      <w:pPr>
        <w:pStyle w:val="Compact"/>
        <w:numPr>
          <w:ilvl w:val="0"/>
          <w:numId w:val="1025"/>
        </w:numPr>
      </w:pPr>
      <w:r>
        <w:t xml:space="preserve">Положение о подразделении ПОД/ФТ (специальное должностное лицо).</w:t>
      </w:r>
    </w:p>
    <w:p>
      <w:pPr>
        <w:pStyle w:val="Compact"/>
        <w:numPr>
          <w:ilvl w:val="0"/>
          <w:numId w:val="1025"/>
        </w:numPr>
      </w:pPr>
      <w:r>
        <w:t xml:space="preserve">Положение о подразделении информационной безопасности.</w:t>
      </w:r>
    </w:p>
    <w:p>
      <w:pPr>
        <w:pStyle w:val="Compact"/>
        <w:numPr>
          <w:ilvl w:val="0"/>
          <w:numId w:val="1025"/>
        </w:numPr>
      </w:pPr>
      <w:r>
        <w:t xml:space="preserve">Кодекс деловой этики и политика по конфликту интересов.</w:t>
      </w:r>
    </w:p>
    <w:bookmarkEnd w:id="47"/>
    <w:bookmarkStart w:id="48" w:name="X23f214da2912cd3dd75f2e2888a88f62f1570b1"/>
    <w:p>
      <w:pPr>
        <w:pStyle w:val="Heading3"/>
      </w:pPr>
      <w:r>
        <w:t xml:space="preserve">12.2. Должностные лица, согласуемые с Банком России</w:t>
      </w:r>
    </w:p>
    <w:p>
      <w:pPr>
        <w:pStyle w:val="FirstParagraph"/>
      </w:pPr>
      <w:r>
        <w:t xml:space="preserve">В рамках статьи 14 Закона №259-ФЗ и Положения №779-П согласованию с Банком России подлежат:</w:t>
      </w:r>
    </w:p>
    <w:p>
      <w:pPr>
        <w:pStyle w:val="Compact"/>
        <w:numPr>
          <w:ilvl w:val="0"/>
          <w:numId w:val="1026"/>
        </w:numPr>
      </w:pPr>
      <w:r>
        <w:t xml:space="preserve">единоличный исполнительный орган (генеральный директор);</w:t>
      </w:r>
    </w:p>
    <w:p>
      <w:pPr>
        <w:pStyle w:val="Compact"/>
        <w:numPr>
          <w:ilvl w:val="0"/>
          <w:numId w:val="1026"/>
        </w:numPr>
      </w:pPr>
      <w:r>
        <w:t xml:space="preserve">члены коллегиального исполнительного органа;</w:t>
      </w:r>
    </w:p>
    <w:p>
      <w:pPr>
        <w:pStyle w:val="Compact"/>
        <w:numPr>
          <w:ilvl w:val="0"/>
          <w:numId w:val="1026"/>
        </w:numPr>
      </w:pPr>
      <w:r>
        <w:t xml:space="preserve">главный бухгалтер;</w:t>
      </w:r>
    </w:p>
    <w:p>
      <w:pPr>
        <w:pStyle w:val="Compact"/>
        <w:numPr>
          <w:ilvl w:val="0"/>
          <w:numId w:val="1026"/>
        </w:numPr>
      </w:pPr>
      <w:r>
        <w:t xml:space="preserve">руководитель службы внутреннего контроля;</w:t>
      </w:r>
    </w:p>
    <w:p>
      <w:pPr>
        <w:pStyle w:val="Compact"/>
        <w:numPr>
          <w:ilvl w:val="0"/>
          <w:numId w:val="1026"/>
        </w:numPr>
      </w:pPr>
      <w:r>
        <w:t xml:space="preserve">руководитель службы внутреннего аудита;</w:t>
      </w:r>
    </w:p>
    <w:p>
      <w:pPr>
        <w:pStyle w:val="Compact"/>
        <w:numPr>
          <w:ilvl w:val="0"/>
          <w:numId w:val="1026"/>
        </w:numPr>
      </w:pPr>
      <w:r>
        <w:t xml:space="preserve">специальное должностное лицо по ПОД/ФТ;</w:t>
      </w:r>
    </w:p>
    <w:p>
      <w:pPr>
        <w:pStyle w:val="Compact"/>
        <w:numPr>
          <w:ilvl w:val="0"/>
          <w:numId w:val="1026"/>
        </w:numPr>
      </w:pPr>
      <w:r>
        <w:t xml:space="preserve">руководитель подразделения информационной безопасности.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анализ-правовых-рисков-и-барьеров"/>
    <w:p>
      <w:pPr>
        <w:pStyle w:val="Heading2"/>
      </w:pPr>
      <w:r>
        <w:t xml:space="preserve">13. Анализ правовых рисков и барьеров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Риск</w:t>
            </w:r>
          </w:p>
        </w:tc>
        <w:tc>
          <w:tcPr/>
          <w:p>
            <w:pPr>
              <w:pStyle w:val="Compact"/>
            </w:pPr>
            <w:r>
              <w:t xml:space="preserve">Степень</w:t>
            </w:r>
          </w:p>
        </w:tc>
        <w:tc>
          <w:tcPr/>
          <w:p>
            <w:pPr>
              <w:pStyle w:val="Compact"/>
            </w:pPr>
            <w:r>
              <w:t xml:space="preserve">Меры устранения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Неполнота правовой базы: отсутствие в действующем праве категории «целевой инфраструктурный ЦФА» и режима обеспеченной целевой эмиссии.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Принятие пакета НПА (см. раздел 8).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Возможный отказ Банка России в включении в реестр операторов.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Раннее вовлечение Банка России в проектную рабочую группу; полное соответствие 779-П.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Регуляторный риск по линии Росфинмониторинга при крупных операциях.</w:t>
            </w:r>
          </w:p>
        </w:tc>
        <w:tc>
          <w:tcPr/>
          <w:p>
            <w:pPr>
              <w:pStyle w:val="Compact"/>
            </w:pPr>
            <w:r>
              <w:t xml:space="preserve">Низкая–Средняя</w:t>
            </w:r>
          </w:p>
        </w:tc>
        <w:tc>
          <w:tcPr/>
          <w:p>
            <w:pPr>
              <w:pStyle w:val="Compact"/>
            </w:pPr>
            <w:r>
              <w:t xml:space="preserve">Полная имплементация 115-ФЗ; риск-ориентированный подход; автоматизированный мониторинг.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Налоговый риск: разное толкование квалификации мены ЦФА по НК РФ.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Получение разъяснений Минфина России и ФНС России на этапе пилота.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Риск признания операций с цифровым рублём целевой эмиссии не соответствующими главе X Закона №86-ФЗ.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Поправки в Закон №86-ФЗ; согласование с Банком России правил движения средств.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Риск отказа в государственной регистрации обременения в ЕГРН по нетиповому основанию.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Подготовка типового пакета документов с Росреестром; пилотные обращения.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Риск отзыва лицензий у партнёрских оценочных и страховых организаций.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Диверсификация партнёрской сети; критерии отбора партнёров; постоянный мониторинг.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Риск злоупотребления полномочиями со стороны должностных лиц оператора.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Многоуровневая система внутреннего контроля; обязательное двойное визирование критичных операций; журнал аудита неизменяем (DLT).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Риск кибератак на платформу и компрометации ЦФА.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Категория 1 КИИ; ГОСТ Р 57580.1 уровень 4; ежегодный внешний пентест; ГосСОПКА.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Риск признания смарт-контракта ничтожным в части автоматизированного исполнения.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Статья 309 ГК; статья 4 Закона №259-ФЗ; разъяснения Верховного Суда Российской Федерации по операциям с ЦФА.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сравнение-с-международной-практикой"/>
    <w:p>
      <w:pPr>
        <w:pStyle w:val="Heading2"/>
      </w:pPr>
      <w:r>
        <w:t xml:space="preserve">14. Сравнение с международной практикой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Юрисдикция</w:t>
            </w:r>
          </w:p>
        </w:tc>
        <w:tc>
          <w:tcPr/>
          <w:p>
            <w:pPr>
              <w:pStyle w:val="Compact"/>
            </w:pPr>
            <w:r>
              <w:t xml:space="preserve">Регулирование токенизации активов</w:t>
            </w:r>
          </w:p>
        </w:tc>
        <w:tc>
          <w:tcPr/>
          <w:p>
            <w:pPr>
              <w:pStyle w:val="Compact"/>
            </w:pPr>
            <w:r>
              <w:t xml:space="preserve">Ключевые отличия от модели ЦП РСФСР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Европейский союз</w:t>
            </w:r>
          </w:p>
        </w:tc>
        <w:tc>
          <w:tcPr/>
          <w:p>
            <w:pPr>
              <w:pStyle w:val="Compact"/>
            </w:pPr>
            <w:r>
              <w:t xml:space="preserve">Регламент MiCA (Markets in Crypto-Assets, Регламент (ЕС) 2023/1114) — действует с 30.12.2024 в полном объёме.</w:t>
            </w:r>
          </w:p>
        </w:tc>
        <w:tc>
          <w:tcPr/>
          <w:p>
            <w:pPr>
              <w:pStyle w:val="Compact"/>
            </w:pPr>
            <w:r>
              <w:t xml:space="preserve">MiCA регулирует крипто-активы общего характера; токенизация недвижимости остаётся в национальном правовом поле государств-членов; целевая эмиссия центрального банка под пул залогов не предусмотрена.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Швейцария</w:t>
            </w:r>
          </w:p>
        </w:tc>
        <w:tc>
          <w:tcPr/>
          <w:p>
            <w:pPr>
              <w:pStyle w:val="Compact"/>
            </w:pPr>
            <w:r>
              <w:t xml:space="preserve">Закон DLT (с 01.08.2021) — поправки в Кодекс обязательств и Закон об инфраструктуре финансового рынка.</w:t>
            </w:r>
          </w:p>
        </w:tc>
        <w:tc>
          <w:tcPr/>
          <w:p>
            <w:pPr>
              <w:pStyle w:val="Compact"/>
            </w:pPr>
            <w:r>
              <w:t xml:space="preserve">Сильная правовая инфраструктура для DLT-токенов как ценных бумаг; модель не предполагает прямой эмиссии национальной валюты под токены.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Сингапур</w:t>
            </w:r>
          </w:p>
        </w:tc>
        <w:tc>
          <w:tcPr/>
          <w:p>
            <w:pPr>
              <w:pStyle w:val="Compact"/>
            </w:pPr>
            <w:r>
              <w:t xml:space="preserve">Payment Services Act 2019 + регуляторный режим Singapore Asset Tokenization (Project Guardian — MAS).</w:t>
            </w:r>
          </w:p>
        </w:tc>
        <w:tc>
          <w:tcPr/>
          <w:p>
            <w:pPr>
              <w:pStyle w:val="Compact"/>
            </w:pPr>
            <w:r>
              <w:t xml:space="preserve">Регулятивные песочницы для токенизации, но без полного аналога целевой эмиссии под залоговую массу.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Объединённые Арабские Эмираты</w:t>
            </w:r>
          </w:p>
        </w:tc>
        <w:tc>
          <w:tcPr/>
          <w:p>
            <w:pPr>
              <w:pStyle w:val="Compact"/>
            </w:pPr>
            <w:r>
              <w:t xml:space="preserve">VARA (Virtual Assets Regulatory Authority, Дубай) и регламент ADGM.</w:t>
            </w:r>
          </w:p>
        </w:tc>
        <w:tc>
          <w:tcPr/>
          <w:p>
            <w:pPr>
              <w:pStyle w:val="Compact"/>
            </w:pPr>
            <w:r>
              <w:t xml:space="preserve">Лицензирование операторов цифровых активов; пилот RWA-tokenization, но без эмиссионной увязки с национальной валютой.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КНР</w:t>
            </w:r>
          </w:p>
        </w:tc>
        <w:tc>
          <w:tcPr/>
          <w:p>
            <w:pPr>
              <w:pStyle w:val="Compact"/>
            </w:pPr>
            <w:r>
              <w:t xml:space="preserve">E-CNY (цифровой юань) — двухуровневая модель ЦБ–банки.</w:t>
            </w:r>
          </w:p>
        </w:tc>
        <w:tc>
          <w:tcPr/>
          <w:p>
            <w:pPr>
              <w:pStyle w:val="Compact"/>
            </w:pPr>
            <w:r>
              <w:t xml:space="preserve">Эмиссия цифровой валюты по решению Народного банка Китая; пилоты токенизации активов в технологических зонах; обеспечение конкретными залогами не закреплено законом.</w:t>
            </w:r>
          </w:p>
        </w:tc>
      </w:tr>
    </w:tbl>
    <w:p>
      <w:pPr>
        <w:pStyle w:val="BodyText"/>
      </w:pPr>
      <w:r>
        <w:rPr>
          <w:b/>
          <w:bCs/>
        </w:rPr>
        <w:t xml:space="preserve">Уникальность ЦП РСФСР</w:t>
      </w:r>
      <w:r>
        <w:t xml:space="preserve"> </w:t>
      </w:r>
      <w:r>
        <w:t xml:space="preserve">в международном контексте состоит в</w:t>
      </w:r>
      <w:r>
        <w:t xml:space="preserve"> </w:t>
      </w:r>
      <w:r>
        <w:rPr>
          <w:b/>
          <w:bCs/>
        </w:rPr>
        <w:t xml:space="preserve">прямой эмиссионной увязке</w:t>
      </w:r>
      <w:r>
        <w:t xml:space="preserve"> </w:t>
      </w:r>
      <w:r>
        <w:t xml:space="preserve">цифровой национальной валюты (цифрового рубля) с обеспеченным пулом залоговых ЦФА от частных собственников при сохранении базы экономики РФ и без замещения внешним долгом. Аналогичной полноразмерной модели в мире на момент подготовки документа в публичном поле не обнаружено.</w:t>
      </w:r>
    </w:p>
    <w:p>
      <w:r>
        <w:pict>
          <v:rect style="width:0;height:1.5pt" o:hralign="center" o:hrstd="t" o:hr="t"/>
        </w:pict>
      </w:r>
    </w:p>
    <w:bookmarkEnd w:id="51"/>
    <w:bookmarkStart w:id="52" w:name="итоговые-выводы"/>
    <w:p>
      <w:pPr>
        <w:pStyle w:val="Heading2"/>
      </w:pPr>
      <w:r>
        <w:t xml:space="preserve">15. Итоговые выводы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Концепция реализуема в действующем правовом поле Российской Федерации</w:t>
      </w:r>
      <w:r>
        <w:t xml:space="preserve"> </w:t>
      </w:r>
      <w:r>
        <w:t xml:space="preserve">с частичным расширением нормативной базы (10 необходимых актов, см. раздел 8). Базовый каркас — Закон №259-ФЗ, Закон №86-ФЗ (в редакции №340-ФЗ), ГК РФ (главы о залоге и эскроу) — уже даёт основание для запуска пилотного контура.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Системообразующая роль Банка России</w:t>
      </w:r>
      <w:r>
        <w:t xml:space="preserve"> </w:t>
      </w:r>
      <w:r>
        <w:t xml:space="preserve">соответствует его конституционным и законодательным полномочиям (статьи 4, 75 Закона №86-ФЗ): Банк России выступает регулятором, надзирающим органом, эскроу-агентом и центром управления эмиссионным контуром. Никаких выходов за пределы установленной компетенции концепция не предполагает.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Управление инфляционным риском обеспечено архитектурой</w:t>
      </w:r>
      <w:r>
        <w:t xml:space="preserve">: эмиссия — только под обеспеченные и оценённые ЦФА, целевое расходование — через эскроу-счёт Банка России, запрет на свободный оборот ЦФА. Это качественно отличает модель от классической необеспеченной эмиссии.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Документ подготовлен в составе пакета проектной документации «Цифровая Платформа РСФСР». Все цитируемые нормы — в редакции, действующей на момент составления документа. При изменении нормативной базы документ подлежит уточнению.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7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2026-05-23T20:40:14Z</dcterms:created>
  <dcterms:modified xsi:type="dcterms:W3CDTF">2026-05-23T20:40:14Z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