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финансовая-модель-цп-рсфср"/>
    <w:p>
      <w:pPr>
        <w:pStyle w:val="Heading1"/>
      </w:pPr>
      <w:r>
        <w:t xml:space="preserve">Финансовая модель ЦП РСФСР</w:t>
      </w:r>
    </w:p>
    <w:p>
      <w:pPr>
        <w:pStyle w:val="FirstParagraph"/>
      </w:pPr>
      <w:r>
        <w:rPr>
          <w:b/>
          <w:bCs/>
        </w:rPr>
        <w:t xml:space="preserve">Автор и правообладатель:</w:t>
      </w:r>
      <w:r>
        <w:t xml:space="preserve"> </w:t>
      </w:r>
      <w:r>
        <w:t xml:space="preserve">Кагиров А.-Х.А. Свидетельство о депонировании №4011265 от 19.12.2024.</w:t>
      </w:r>
    </w:p>
    <w:p>
      <w:pPr>
        <w:pStyle w:val="BodyText"/>
      </w:pPr>
      <w:r>
        <w:rPr>
          <w:b/>
          <w:bCs/>
        </w:rPr>
        <w:t xml:space="preserve">Горизонт:</w:t>
      </w:r>
      <w:r>
        <w:t xml:space="preserve"> </w:t>
      </w:r>
      <w:r>
        <w:t xml:space="preserve">10 лет (2025-2034).</w:t>
      </w:r>
      <w:r>
        <w:t xml:space="preserve"> </w:t>
      </w:r>
      <w:r>
        <w:rPr>
          <w:b/>
          <w:bCs/>
        </w:rPr>
        <w:t xml:space="preserve">Валюта:</w:t>
      </w:r>
      <w:r>
        <w:t xml:space="preserve"> </w:t>
      </w:r>
      <w:r>
        <w:t xml:space="preserve">российские рубли. Если не указано иное — суммы в млн ₽; залоговая ёмкость и объём ЦФА — в млрд ₽.</w:t>
      </w:r>
    </w:p>
    <w:p>
      <w:pPr>
        <w:pStyle w:val="BodyText"/>
      </w:pPr>
      <w:r>
        <w:t xml:space="preserve">Файл представлен как машиночитаемая модель в формате Markdown с явными формулами в комментариях (.xlsx не создавался — окружение исполнителя ограничило запись только подпапкой</w:t>
      </w:r>
      <w:r>
        <w:t xml:space="preserve"> </w:t>
      </w:r>
      <w:r>
        <w:rPr>
          <w:rStyle w:val="VerbatimChar"/>
        </w:rPr>
        <w:t xml:space="preserve">_Мастер</w:t>
      </w:r>
      <w:r>
        <w:t xml:space="preserve">; перенос модели в</w:t>
      </w:r>
      <w:r>
        <w:t xml:space="preserve"> </w:t>
      </w:r>
      <w:r>
        <w:rPr>
          <w:rStyle w:val="VerbatimChar"/>
        </w:rPr>
        <w:t xml:space="preserve">03_Финансовая_модель</w:t>
      </w:r>
      <w:r>
        <w:t xml:space="preserve"> </w:t>
      </w:r>
      <w:r>
        <w:t xml:space="preserve">— за заказчиком). Все расчёты ниже выполнены вручную по тем же формулам, которые воспроизводятся в openpyxl.</w:t>
      </w:r>
    </w:p>
    <w:p>
      <w:r>
        <w:pict>
          <v:rect style="width:0;height:1.5pt" o:hralign="center" o:hrstd="t" o:hr="t"/>
        </w:pict>
      </w:r>
    </w:p>
    <w:bookmarkStart w:id="14" w:name="лист-1.-assumptions-ключевые-допущения"/>
    <w:p>
      <w:pPr>
        <w:pStyle w:val="Heading2"/>
      </w:pPr>
      <w:r>
        <w:t xml:space="preserve">Лист 1. Assumptions — ключевые допущения</w:t>
      </w:r>
    </w:p>
    <w:bookmarkStart w:id="9" w:name="a.-рынок-и-доля-платформы"/>
    <w:p>
      <w:pPr>
        <w:pStyle w:val="Heading3"/>
      </w:pPr>
      <w:r>
        <w:t xml:space="preserve">A. Рынок и доля платформы</w:t>
      </w:r>
    </w:p>
    <w:p>
      <w:pPr>
        <w:pStyle w:val="FirstParagraph"/>
      </w:pPr>
      <w:r>
        <w:t xml:space="preserve">Залоговая ёмкость рынка на 2025 —</w:t>
      </w:r>
      <w:r>
        <w:t xml:space="preserve"> </w:t>
      </w:r>
      <w:r>
        <w:rPr>
          <w:b/>
          <w:bCs/>
        </w:rPr>
        <w:t xml:space="preserve">25 000 млрд ₽</w:t>
      </w:r>
      <w:r>
        <w:t xml:space="preserve"> </w:t>
      </w:r>
      <w:r>
        <w:t xml:space="preserve">(консервативная оценка автора: 10% активов × 50% стоимости от 507 трлн ₽ совокупной массы жилфонда, коммерческой недвижимости и земельных участков; источник — РСФСР_6.pptx, слайд 9).</w:t>
      </w:r>
    </w:p>
    <w:p>
      <w:pPr>
        <w:pStyle w:val="BodyText"/>
      </w:pPr>
      <w:r>
        <w:t xml:space="preserve">Индексация рынка по таргету ЦБ РФ 4% в год.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6"/>
        <w:gridCol w:w="516"/>
        <w:gridCol w:w="688"/>
        <w:gridCol w:w="688"/>
        <w:gridCol w:w="688"/>
        <w:gridCol w:w="688"/>
        <w:gridCol w:w="688"/>
        <w:gridCol w:w="688"/>
        <w:gridCol w:w="688"/>
        <w:gridCol w:w="688"/>
        <w:gridCol w:w="688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Ед.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Залоговая ёмкость рынка</w:t>
            </w:r>
          </w:p>
        </w:tc>
        <w:tc>
          <w:tcPr/>
          <w:p>
            <w:pPr>
              <w:pStyle w:val="Compact"/>
            </w:pPr>
            <w:r>
              <w:t xml:space="preserve">млрд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27 040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28 122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31 633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34 214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платформы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Объём ЦФА к выпуску</w:t>
            </w:r>
          </w:p>
        </w:tc>
        <w:tc>
          <w:tcPr/>
          <w:p>
            <w:pPr>
              <w:pStyle w:val="Compact"/>
            </w:pPr>
            <w:r>
              <w:t xml:space="preserve">млрд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1 406,1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2 924,6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3 650,0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4 428,6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5 263,7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6 158,6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7 116,5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Обращаемый стек ЦФА</w:t>
            </w:r>
          </w:p>
        </w:tc>
        <w:tc>
          <w:tcPr/>
          <w:p>
            <w:pPr>
              <w:pStyle w:val="Compact"/>
            </w:pPr>
            <w:r>
              <w:t xml:space="preserve">млрд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670,8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2 076,9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5 001,5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8 651,5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12 950,1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17 673,0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22 425,5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26 617,4</w:t>
            </w:r>
          </w:p>
        </w:tc>
      </w:tr>
    </w:tbl>
    <w:p>
      <w:pPr>
        <w:pStyle w:val="BlockText"/>
      </w:pPr>
      <w:r>
        <w:t xml:space="preserve">Формула «Объём ЦФА к выпуску» = «Залоговая ёмкость» × «Доля платформы».</w:t>
      </w:r>
      <w:r>
        <w:t xml:space="preserve"> </w:t>
      </w:r>
      <w:r>
        <w:t xml:space="preserve">Формула «Обращаемый стек ЦФА» = сумма выпусков за последние 5 лет (средний срок жизни ЦФА = 5 лет, соответствует средней длительности инфраструктурных проектов).</w:t>
      </w:r>
    </w:p>
    <w:bookmarkEnd w:id="9"/>
    <w:bookmarkStart w:id="10" w:name="b.-тарифы-оператора"/>
    <w:p>
      <w:pPr>
        <w:pStyle w:val="Heading3"/>
      </w:pPr>
      <w:r>
        <w:t xml:space="preserve">B. Тарифы оператора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6"/>
        <w:gridCol w:w="516"/>
        <w:gridCol w:w="688"/>
        <w:gridCol w:w="688"/>
        <w:gridCol w:w="688"/>
        <w:gridCol w:w="688"/>
        <w:gridCol w:w="688"/>
        <w:gridCol w:w="688"/>
        <w:gridCol w:w="688"/>
        <w:gridCol w:w="688"/>
        <w:gridCol w:w="688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Ед.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Комиссия за выпуск ЦФА (от номинала)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Сервисная комиссия (от стека)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Платформенный сбор (оценка/страх.)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Лицензии B2B2G (от объёма выпуска)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Тех. интеграции (фикс)</w:t>
            </w:r>
          </w:p>
        </w:tc>
        <w:tc>
          <w:tcPr/>
          <w:p>
            <w:pPr>
              <w:pStyle w:val="Compact"/>
            </w:pPr>
            <w:r>
              <w:t xml:space="preserve">млн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1 150</w:t>
            </w:r>
          </w:p>
        </w:tc>
      </w:tr>
    </w:tbl>
    <w:bookmarkEnd w:id="10"/>
    <w:bookmarkStart w:id="11" w:name="c.-затраты"/>
    <w:p>
      <w:pPr>
        <w:pStyle w:val="Heading3"/>
      </w:pPr>
      <w:r>
        <w:t xml:space="preserve">C. Затраты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6"/>
        <w:gridCol w:w="516"/>
        <w:gridCol w:w="688"/>
        <w:gridCol w:w="688"/>
        <w:gridCol w:w="688"/>
        <w:gridCol w:w="688"/>
        <w:gridCol w:w="688"/>
        <w:gridCol w:w="688"/>
        <w:gridCol w:w="688"/>
        <w:gridCol w:w="688"/>
        <w:gridCol w:w="688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Ед.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CapEx (платформа, ЦОДы, лицензии)</w:t>
            </w:r>
          </w:p>
        </w:tc>
        <w:tc>
          <w:tcPr/>
          <w:p>
            <w:pPr>
              <w:pStyle w:val="Compact"/>
            </w:pPr>
            <w:r>
              <w:t xml:space="preserve">млн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OpEx (без ФОТ)</w:t>
            </w:r>
          </w:p>
        </w:tc>
        <w:tc>
          <w:tcPr/>
          <w:p>
            <w:pPr>
              <w:pStyle w:val="Compact"/>
            </w:pPr>
            <w:r>
              <w:t xml:space="preserve">млн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FTE (к концу года)</w:t>
            </w:r>
          </w:p>
        </w:tc>
        <w:tc>
          <w:tcPr/>
          <w:p>
            <w:pPr>
              <w:pStyle w:val="Compact"/>
            </w:pPr>
            <w:r>
              <w:t xml:space="preserve">чел.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Средняя ЗП gross</w:t>
            </w:r>
          </w:p>
        </w:tc>
        <w:tc>
          <w:tcPr/>
          <w:p>
            <w:pPr>
              <w:pStyle w:val="Compact"/>
            </w:pPr>
            <w:r>
              <w:t xml:space="preserve">тыс. ₽/мес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393,3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416,9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441,9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496,5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526,3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557,9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ФОТ + страховые 30%</w:t>
            </w:r>
          </w:p>
        </w:tc>
        <w:tc>
          <w:tcPr/>
          <w:p>
            <w:pPr>
              <w:pStyle w:val="Compact"/>
            </w:pPr>
            <w:r>
              <w:t xml:space="preserve">млн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981,6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1 300,7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1 654,5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1 973,0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2 323,6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2 709,4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3 046,1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3 414,4</w:t>
            </w:r>
          </w:p>
        </w:tc>
      </w:tr>
    </w:tbl>
    <w:p>
      <w:pPr>
        <w:pStyle w:val="BlockText"/>
      </w:pPr>
      <w:r>
        <w:t xml:space="preserve">Формула ФОТ = FTE × ЗП(тыс./мес) × 12 / 1000 × 1,30.</w:t>
      </w:r>
    </w:p>
    <w:bookmarkEnd w:id="11"/>
    <w:bookmarkStart w:id="12" w:name="d.-налоги-и-ставки"/>
    <w:p>
      <w:pPr>
        <w:pStyle w:val="Heading3"/>
      </w:pPr>
      <w:r>
        <w:t xml:space="preserve">D. Налоги и ставки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Налог на прибыль</w:t>
            </w:r>
          </w:p>
        </w:tc>
        <w:tc>
          <w:tcPr/>
          <w:p>
            <w:pPr>
              <w:pStyle w:val="Compact"/>
            </w:pPr>
            <w:r>
              <w:t xml:space="preserve">20% (НК РФ, гл. 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НДС</w:t>
            </w:r>
          </w:p>
        </w:tc>
        <w:tc>
          <w:tcPr/>
          <w:p>
            <w:pPr>
              <w:pStyle w:val="Compact"/>
            </w:pPr>
            <w:r>
              <w:t xml:space="preserve">20% (НК РФ, гл. 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Страховые взносы</w:t>
            </w:r>
          </w:p>
        </w:tc>
        <w:tc>
          <w:tcPr/>
          <w:p>
            <w:pPr>
              <w:pStyle w:val="Compact"/>
            </w:pPr>
            <w:r>
              <w:t xml:space="preserve">30% (НК РФ, гл. 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Инфляция</w:t>
            </w:r>
          </w:p>
        </w:tc>
        <w:tc>
          <w:tcPr/>
          <w:p>
            <w:pPr>
              <w:pStyle w:val="Compact"/>
            </w:pPr>
            <w:r>
              <w:t xml:space="preserve">4,0% — таргет ЦБ РФ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WACC</w:t>
            </w:r>
          </w:p>
        </w:tc>
        <w:tc>
          <w:tcPr/>
          <w:p>
            <w:pPr>
              <w:pStyle w:val="Compact"/>
            </w:pPr>
            <w:r>
              <w:t xml:space="preserve">22,0% — текущая КС + риск-премия</w:t>
            </w:r>
          </w:p>
        </w:tc>
      </w:tr>
    </w:tbl>
    <w:bookmarkEnd w:id="12"/>
    <w:bookmarkStart w:id="13" w:name="e.-параметры-запуска"/>
    <w:p>
      <w:pPr>
        <w:pStyle w:val="Heading3"/>
      </w:pPr>
      <w:r>
        <w:t xml:space="preserve">E. Параметры запуска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реализации платформы-оператора</w:t>
            </w:r>
          </w:p>
        </w:tc>
        <w:tc>
          <w:tcPr/>
          <w:p>
            <w:pPr>
              <w:pStyle w:val="Compact"/>
            </w:pPr>
            <w:r>
              <w:t xml:space="preserve">18 месяцев (по концепции автора)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Средний срок жизни выпуска ЦФА</w:t>
            </w:r>
          </w:p>
        </w:tc>
        <w:tc>
          <w:tcPr/>
          <w:p>
            <w:pPr>
              <w:pStyle w:val="Compact"/>
            </w:pPr>
            <w:r>
              <w:t xml:space="preserve">5 лет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Норма амортизации CapEx (линейно)</w:t>
            </w:r>
          </w:p>
        </w:tc>
        <w:tc>
          <w:tcPr/>
          <w:p>
            <w:pPr>
              <w:pStyle w:val="Compact"/>
            </w:pPr>
            <w:r>
              <w:t xml:space="preserve">1/7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рабочего капитала к выручке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Стартовая денежная подушка</w:t>
            </w:r>
          </w:p>
        </w:tc>
        <w:tc>
          <w:tcPr/>
          <w:p>
            <w:pPr>
              <w:pStyle w:val="Compact"/>
            </w:pPr>
            <w:r>
              <w:t xml:space="preserve">350 млн ₽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лист-2.-revenue-выручка-по-линиям"/>
    <w:p>
      <w:pPr>
        <w:pStyle w:val="Heading2"/>
      </w:pPr>
      <w:r>
        <w:t xml:space="preserve">Лист 2. Revenue — выручка по линиям</w:t>
      </w:r>
    </w:p>
    <w:p>
      <w:pPr>
        <w:pStyle w:val="FirstParagraph"/>
      </w:pPr>
      <w:r>
        <w:t xml:space="preserve">Все суммы в млн ₽.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2"/>
        <w:gridCol w:w="736"/>
        <w:gridCol w:w="736"/>
        <w:gridCol w:w="736"/>
        <w:gridCol w:w="736"/>
        <w:gridCol w:w="736"/>
        <w:gridCol w:w="736"/>
        <w:gridCol w:w="736"/>
        <w:gridCol w:w="736"/>
        <w:gridCol w:w="73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Объём ЦФА к выпуску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540 800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1 406 100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2 924 600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3 650 000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4 428 600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5 263 700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6 158 600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7 116 500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Обращаемый объём (стек)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670 800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2 076 900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5 001 500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8 651 500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12 950 100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17 673 000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22 425 500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26 617 400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Комиссия за выпуск (0,50%)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2 704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14 623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22 143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Сервисная комиссия (0,30%)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53 019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79 852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Платформенный сбор (0,15%)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Лицензии B2B2G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5 314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Тех. интеграции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 выручка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1 350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6 086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16 986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37 459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54 345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73 730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94 976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116 950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137 935</w:t>
            </w:r>
          </w:p>
        </w:tc>
      </w:tr>
    </w:tbl>
    <w:p>
      <w:pPr>
        <w:pStyle w:val="BodyText"/>
      </w:pPr>
      <w:r>
        <w:t xml:space="preserve">Структура выручки (% от ИТОГО):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Линия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Комиссия за выпуск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Сервисная комиссия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Платформенный сбор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Лицензии B2B2G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Тех. интеграции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0,8%</w:t>
            </w:r>
          </w:p>
        </w:tc>
      </w:tr>
    </w:tbl>
    <w:p>
      <w:pPr>
        <w:pStyle w:val="BlockText"/>
      </w:pPr>
      <w:r>
        <w:t xml:space="preserve">К году 10 сервисная комиссия становится главным источником дохода — типичная структура зрелого инфраструктурного оператора (комиссия на стек, а не на новый выпуск).</w:t>
      </w:r>
    </w:p>
    <w:p>
      <w:r>
        <w:pict>
          <v:rect style="width:0;height:1.5pt" o:hralign="center" o:hrstd="t" o:hr="t"/>
        </w:pict>
      </w:r>
    </w:p>
    <w:bookmarkEnd w:id="15"/>
    <w:bookmarkStart w:id="18" w:name="лист-3.-opex-capex-детальная-разбивка"/>
    <w:p>
      <w:pPr>
        <w:pStyle w:val="Heading2"/>
      </w:pPr>
      <w:r>
        <w:t xml:space="preserve">Лист 3. OpEx &amp; CapEx — детальная разбивка</w:t>
      </w:r>
    </w:p>
    <w:bookmarkStart w:id="16" w:name="capex"/>
    <w:p>
      <w:pPr>
        <w:pStyle w:val="Heading3"/>
      </w:pPr>
      <w:r>
        <w:t xml:space="preserve">CapEx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2"/>
        <w:gridCol w:w="736"/>
        <w:gridCol w:w="736"/>
        <w:gridCol w:w="736"/>
        <w:gridCol w:w="736"/>
        <w:gridCol w:w="736"/>
        <w:gridCol w:w="736"/>
        <w:gridCol w:w="736"/>
        <w:gridCol w:w="736"/>
        <w:gridCol w:w="73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Статья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Платформа (ядро, АБС-модули)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ЦОДы (резерв, гео-репликация)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Лицензии ЦБ РФ + ФЗ-комплаенс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 CapEx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</w:tr>
    </w:tbl>
    <w:p>
      <w:pPr>
        <w:pStyle w:val="BodyText"/>
      </w:pPr>
      <w:r>
        <w:t xml:space="preserve">Совокупный CapEx за 10 лет — 1 300 млн ₽; из них 850 млн ₽ — за первые 18 месяцев (как требует исходное допущение).</w:t>
      </w:r>
    </w:p>
    <w:bookmarkEnd w:id="16"/>
    <w:bookmarkStart w:id="17" w:name="opex"/>
    <w:p>
      <w:pPr>
        <w:pStyle w:val="Heading3"/>
      </w:pPr>
      <w:r>
        <w:t xml:space="preserve">OpEx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2"/>
        <w:gridCol w:w="736"/>
        <w:gridCol w:w="736"/>
        <w:gridCol w:w="736"/>
        <w:gridCol w:w="736"/>
        <w:gridCol w:w="736"/>
        <w:gridCol w:w="736"/>
        <w:gridCol w:w="736"/>
        <w:gridCol w:w="736"/>
        <w:gridCol w:w="73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Статья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Инфраструктура (хостинг, связь, ИБ)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Лицензии ПО, СУБД, инструменты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Маркетинг, BD, мероприятия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Юр., аудит, регуляторика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Услуги интеграторов (B2B2G)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Прочее (офис, КБ, обучение)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 OpEx без ФОТ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ФОТ + страховые 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981,6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1 300,7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1 654,5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1 973,0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2 323,6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2 709,4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3 046,1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3 414,4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 полные опер. затраты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598,4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1 112,8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1 442,6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1 807,7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2 210,5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2 586,0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2 999,6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3 451,4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3 862,1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4 312,4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2" w:name="X4823e0f89b7897d3196ea11cc8eb3d7985b9104"/>
    <w:p>
      <w:pPr>
        <w:pStyle w:val="Heading2"/>
      </w:pPr>
      <w:r>
        <w:t xml:space="preserve">Лист 4. P&amp;L, Cash Flow, Balance Sheet (упрощённо)</w:t>
      </w:r>
    </w:p>
    <w:bookmarkStart w:id="19" w:name="pl-млн"/>
    <w:p>
      <w:pPr>
        <w:pStyle w:val="Heading3"/>
      </w:pPr>
      <w:r>
        <w:t xml:space="preserve">P&amp;L (млн ₽)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2"/>
        <w:gridCol w:w="736"/>
        <w:gridCol w:w="736"/>
        <w:gridCol w:w="736"/>
        <w:gridCol w:w="736"/>
        <w:gridCol w:w="736"/>
        <w:gridCol w:w="736"/>
        <w:gridCol w:w="736"/>
        <w:gridCol w:w="736"/>
        <w:gridCol w:w="73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Выручка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37 459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73 730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94 976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116 950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137 935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Опер. затраты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-1 113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-1 443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-1 808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-2 211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-2 586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-3 451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-3 862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-4 312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EBITDA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-598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4 643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15 178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35 248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51 759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70 730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91 525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113 088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133 623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Амортизация (1/7 от накопл. CapEx)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EBIT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-670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4 522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15 057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35 127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51 609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70 580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91 375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112 902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133 437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Налог 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-3 011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-7 025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-10 322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-14 116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-18 275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-22 580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-26 687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Чистая прибыль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-670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12 046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28 102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41 287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56 464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73 100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90 322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106 750</w:t>
            </w:r>
          </w:p>
        </w:tc>
      </w:tr>
    </w:tbl>
    <w:p>
      <w:pPr>
        <w:pStyle w:val="BodyText"/>
      </w:pPr>
      <w:r>
        <w:t xml:space="preserve">Маржа EBITDA: 2026 — 17,6%, 2029 — 94,1%, 2034 — 96,9%. Высокая маржинальность отражает природу «инфраструктурной комиссии» — малая доля OpEx к выручке после выхода на масштаб.</w:t>
      </w:r>
    </w:p>
    <w:bookmarkEnd w:id="19"/>
    <w:bookmarkStart w:id="20" w:name="cash-flow-млн"/>
    <w:p>
      <w:pPr>
        <w:pStyle w:val="Heading3"/>
      </w:pPr>
      <w:r>
        <w:t xml:space="preserve">Cash Flow (млн ₽)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2"/>
        <w:gridCol w:w="736"/>
        <w:gridCol w:w="736"/>
        <w:gridCol w:w="736"/>
        <w:gridCol w:w="736"/>
        <w:gridCol w:w="736"/>
        <w:gridCol w:w="736"/>
        <w:gridCol w:w="736"/>
        <w:gridCol w:w="736"/>
        <w:gridCol w:w="73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70 730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91 525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113 088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133 623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Налог на прибыль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-3 011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-7 025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-10 322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-14 116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-18 275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-22 580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-26 687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Рабочий капитал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-1 024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-1 062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-1 099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-1 049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-1 098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-204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3 502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11 622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27 199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40 393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55 645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72 187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89 159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105 886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Кумулятивный FCF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-1 098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-1 302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13 822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81 414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137 060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209 247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404 292</w:t>
            </w:r>
          </w:p>
        </w:tc>
      </w:tr>
    </w:tbl>
    <w:bookmarkEnd w:id="20"/>
    <w:bookmarkStart w:id="21" w:name="balance-sheet-упрощённо-млн"/>
    <w:p>
      <w:pPr>
        <w:pStyle w:val="Heading3"/>
      </w:pPr>
      <w:r>
        <w:t xml:space="preserve">Balance Sheet (упрощённо, млн ₽)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2"/>
        <w:gridCol w:w="736"/>
        <w:gridCol w:w="736"/>
        <w:gridCol w:w="736"/>
        <w:gridCol w:w="736"/>
        <w:gridCol w:w="736"/>
        <w:gridCol w:w="736"/>
        <w:gridCol w:w="736"/>
        <w:gridCol w:w="736"/>
        <w:gridCol w:w="73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Денежные средства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13 822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81 414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137 060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209 247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404 292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Основные средства, нетто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Рабочий капитал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6 897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 активы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3 041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15 086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43 189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84 474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140 940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214 039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304 361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411 110</w:t>
            </w:r>
          </w:p>
        </w:tc>
      </w:tr>
    </w:tbl>
    <w:p>
      <w:pPr>
        <w:pStyle w:val="BlockText"/>
      </w:pPr>
      <w:r>
        <w:t xml:space="preserve">Денежные средства 2025-2026 удерживаются на уровне привлечённого капитала. После 2027 капитал не требуется — проект самофинансируется.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лист-5.-valuation-sensitivity"/>
    <w:p>
      <w:pPr>
        <w:pStyle w:val="Heading2"/>
      </w:pPr>
      <w:r>
        <w:t xml:space="preserve">Лист 5. Valuation &amp; Sensitivity</w:t>
      </w:r>
    </w:p>
    <w:bookmarkStart w:id="23" w:name="базовый-сценарий-kpi"/>
    <w:p>
      <w:pPr>
        <w:pStyle w:val="Heading3"/>
      </w:pPr>
      <w:r>
        <w:t xml:space="preserve">Базовый сценарий — KPI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NPV @ WACC 22% (с TV, g=4%)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170 100 млн ₽</w:t>
            </w:r>
          </w:p>
        </w:tc>
        <w:tc>
          <w:tcPr/>
          <w:p>
            <w:pPr>
              <w:pStyle w:val="Compact"/>
            </w:pPr>
            <w:r>
              <w:t xml:space="preserve">≈ 170,1 млрд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NPV без терминальной стоимости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86 380 млн ₽</w:t>
            </w:r>
          </w:p>
        </w:tc>
        <w:tc>
          <w:tcPr/>
          <w:p>
            <w:pPr>
              <w:pStyle w:val="Compact"/>
            </w:pPr>
            <w:r>
              <w:t xml:space="preserve">Сумма дисконт. FCF 2025-2034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TV (Gordon, g=4%)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611 800 млн ₽</w:t>
            </w:r>
          </w:p>
        </w:tc>
        <w:tc>
          <w:tcPr/>
          <w:p>
            <w:pPr>
              <w:pStyle w:val="Compact"/>
            </w:pPr>
            <w:r>
              <w:t xml:space="preserve">Не дисконт.; в дисконте — 83 750 млн 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IRR (10 лет + TV)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~228%</w:t>
            </w:r>
          </w:p>
        </w:tc>
        <w:tc>
          <w:tcPr/>
          <w:p>
            <w:pPr>
              <w:pStyle w:val="Compact"/>
            </w:pPr>
            <w:r>
              <w:t xml:space="preserve">Высокий — следствие низкого CapEx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IRR без 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~226%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Payback period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2,37 года</w:t>
            </w:r>
          </w:p>
        </w:tc>
        <w:tc>
          <w:tcPr/>
          <w:p>
            <w:pPr>
              <w:pStyle w:val="Compact"/>
            </w:pPr>
            <w:r>
              <w:t xml:space="preserve">Кум. FCF пересекает 0 в 2027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Пиковая потребность в финансировании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1 302 млн ₽</w:t>
            </w:r>
          </w:p>
        </w:tc>
        <w:tc>
          <w:tcPr/>
          <w:p>
            <w:pPr>
              <w:pStyle w:val="Compact"/>
            </w:pPr>
            <w:r>
              <w:t xml:space="preserve">Макс. кум. дефицит FCF (конец 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Equity Multiple (с TV)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~781x</w:t>
            </w:r>
          </w:p>
        </w:tc>
        <w:tc>
          <w:tcPr/>
          <w:p>
            <w:pPr>
              <w:pStyle w:val="Compact"/>
            </w:pPr>
            <w:r>
              <w:t xml:space="preserve">На стартовый дефицит 1,3 млрд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Выручка год 5 (2029)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37 459 млн ₽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Выручка год 10 (2034)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137 935 млн ₽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EBITDA год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133 623 млн ₽</w:t>
            </w:r>
          </w:p>
        </w:tc>
        <w:tc>
          <w:tcPr/>
          <w:p>
            <w:pPr>
              <w:pStyle w:val="Compact"/>
            </w:pPr>
            <w:r>
              <w:t xml:space="preserve">Маржа 96,9%</w:t>
            </w:r>
          </w:p>
        </w:tc>
      </w:tr>
    </w:tbl>
    <w:p>
      <w:pPr>
        <w:pStyle w:val="BlockText"/>
      </w:pPr>
      <w:r>
        <w:rPr>
          <w:b/>
          <w:bCs/>
        </w:rPr>
        <w:t xml:space="preserve">Важно.</w:t>
      </w:r>
      <w:r>
        <w:t xml:space="preserve"> </w:t>
      </w:r>
      <w:r>
        <w:t xml:space="preserve">IRR и Equity Multiple базового сценария зависят от двух экзогенных допущений: (1) консервативная залоговая ёмкость 25 трлн ₽; (2) доля платформы достигает 20% к году 10. Это допущения автора концепции — модель механически их трансформирует в денежный поток. Для инвестпереговоров рекомендуется консервативный сценарий.</w:t>
      </w:r>
    </w:p>
    <w:bookmarkEnd w:id="23"/>
    <w:bookmarkStart w:id="24" w:name="сценарии"/>
    <w:p>
      <w:pPr>
        <w:pStyle w:val="Heading3"/>
      </w:pPr>
      <w:r>
        <w:t xml:space="preserve">Сценарии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NPV, млрд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Payback, лет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Выручка 2034, млрд 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Консервативный</w:t>
            </w:r>
            <w:r>
              <w:t xml:space="preserve"> </w:t>
            </w:r>
            <w:r>
              <w:t xml:space="preserve">(доля ×0,5; комиссии ×0,8; OpEx ×1,15; WACC 25%)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Базовый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137,9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Оптимистичный</w:t>
            </w:r>
            <w:r>
              <w:t xml:space="preserve"> </w:t>
            </w:r>
            <w:r>
              <w:t xml:space="preserve">(доля ×1,5; комиссии ×1,2; OpEx ×0,9; WACC 19%)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~290%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246,5</w:t>
            </w:r>
          </w:p>
        </w:tc>
      </w:tr>
    </w:tbl>
    <w:p>
      <w:pPr>
        <w:pStyle w:val="BlockText"/>
      </w:pPr>
      <w:r>
        <w:t xml:space="preserve">Даже консервативный сценарий даёт NPV &gt; 50 млрд ₽ — это запас прочности для инвестпереговоров.</w:t>
      </w:r>
    </w:p>
    <w:bookmarkEnd w:id="24"/>
    <w:bookmarkStart w:id="25" w:name="X59a126d0d24fd1491e3f885798a777440d609d5"/>
    <w:p>
      <w:pPr>
        <w:pStyle w:val="Heading3"/>
      </w:pPr>
      <w:r>
        <w:t xml:space="preserve">Чувствительность NPV (млрд ₽): WACC × Доля рынка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WACC  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×1,25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</w:tr>
    </w:tbl>
    <w:p>
      <w:pPr>
        <w:pStyle w:val="BlockText"/>
      </w:pPr>
      <w:r>
        <w:t xml:space="preserve">Чувствительность к WACC умеренная: ±3 п.п. → ±25% NPV.</w:t>
      </w:r>
    </w:p>
    <w:bookmarkEnd w:id="25"/>
    <w:bookmarkStart w:id="26" w:name="X655fd748ffa793276b0e9ce2899a71303be534e"/>
    <w:p>
      <w:pPr>
        <w:pStyle w:val="Heading3"/>
      </w:pPr>
      <w:r>
        <w:t xml:space="preserve">Чувствительность NPV (млрд ₽): Комиссии × Инфляция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Инфляция  Fee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</w:tr>
    </w:tbl>
    <w:p>
      <w:pPr>
        <w:pStyle w:val="BlockText"/>
      </w:pPr>
      <w:r>
        <w:t xml:space="preserve">Падение комиссии на 20% снижает NPV на ~21%. Инфляция при росте рынка играет в плюс — растёт номинал залоговой ёмкости.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методологические-замечания"/>
    <w:p>
      <w:pPr>
        <w:pStyle w:val="Heading2"/>
      </w:pPr>
      <w:r>
        <w:t xml:space="preserve">Методологические замечания</w:t>
      </w:r>
    </w:p>
    <w:p>
      <w:pPr>
        <w:pStyle w:val="Compact"/>
        <w:numPr>
          <w:ilvl w:val="0"/>
          <w:numId w:val="1001"/>
        </w:numPr>
      </w:pPr>
      <w:r>
        <w:t xml:space="preserve">Все ключевые величины — допущения автора (потенциал рынка, доля платформы, тарифы) либо стандартные ставки (НК РФ, ЦБ РФ).</w:t>
      </w:r>
    </w:p>
    <w:p>
      <w:pPr>
        <w:pStyle w:val="Compact"/>
        <w:numPr>
          <w:ilvl w:val="0"/>
          <w:numId w:val="1001"/>
        </w:numPr>
      </w:pPr>
      <w:r>
        <w:t xml:space="preserve">Терминальная стоимость — Gordon growth, g=4% (= таргет ЦБ). Без TV NPV всё равно положителен (&gt;86 млрд ₽).</w:t>
      </w:r>
    </w:p>
    <w:p>
      <w:pPr>
        <w:pStyle w:val="Compact"/>
        <w:numPr>
          <w:ilvl w:val="0"/>
          <w:numId w:val="1001"/>
        </w:numPr>
      </w:pPr>
      <w:r>
        <w:t xml:space="preserve">Налог начисляется только при положительном EBIT.</w:t>
      </w:r>
    </w:p>
    <w:p>
      <w:pPr>
        <w:pStyle w:val="Compact"/>
        <w:numPr>
          <w:ilvl w:val="0"/>
          <w:numId w:val="1001"/>
        </w:numPr>
      </w:pPr>
      <w:r>
        <w:t xml:space="preserve">ФОТ растёт по двум каналам: FTE (40→370 чел.) и индексация ЗП 6% в год.</w:t>
      </w:r>
    </w:p>
    <w:p>
      <w:pPr>
        <w:pStyle w:val="Compact"/>
        <w:numPr>
          <w:ilvl w:val="0"/>
          <w:numId w:val="1001"/>
        </w:numPr>
      </w:pPr>
      <w:r>
        <w:t xml:space="preserve">CapEx 850 млн ₽ за первые 18 месяцев (500 в 2025, 350 в 2026); далее модернизационные «волны» (200 в 2030, 250 в 2033).</w:t>
      </w:r>
    </w:p>
    <w:p>
      <w:pPr>
        <w:pStyle w:val="Compact"/>
        <w:numPr>
          <w:ilvl w:val="0"/>
          <w:numId w:val="1001"/>
        </w:numPr>
      </w:pPr>
      <w:r>
        <w:t xml:space="preserve">Стек ЦФА: выпуск остаётся в обращении 5 лет, затем мена. Это влияет на сервисную комиссию.</w:t>
      </w:r>
    </w:p>
    <w:p>
      <w:pPr>
        <w:pStyle w:val="Compact"/>
        <w:numPr>
          <w:ilvl w:val="0"/>
          <w:numId w:val="1001"/>
        </w:numPr>
      </w:pPr>
      <w:r>
        <w:t xml:space="preserve">NPV/IRR консервативного сценария — практическая основа для переговоров с инвесторами и регулятором.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Дата:</w:t>
      </w:r>
      <w:r>
        <w:t xml:space="preserve"> </w:t>
      </w:r>
      <w:r>
        <w:t xml:space="preserve">23.05.2026</w:t>
      </w:r>
      <w:r>
        <w:t xml:space="preserve"> </w:t>
      </w:r>
      <w:r>
        <w:rPr>
          <w:b/>
          <w:bCs/>
        </w:rPr>
        <w:t xml:space="preserve">Подготовлено:</w:t>
      </w:r>
      <w:r>
        <w:t xml:space="preserve"> </w:t>
      </w:r>
      <w:r>
        <w:t xml:space="preserve">в рамках проекта ЦП РСФСР, на основании концепта автора (Кагиров А.-Х.А., свид. №4011265 от 19.12.2024) и исходных данных слайда 9 презентации РСФСР_6.pptx. Сторонние материалы не использовались.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2026-05-23T20:40:15Z</dcterms:created>
  <dcterms:modified xsi:type="dcterms:W3CDTF">2026-05-23T20:40:15Z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