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0637f9ce99740b1f29b66010270771209649a31"/>
    <w:p>
      <w:pPr>
        <w:pStyle w:val="Heading1"/>
      </w:pPr>
      <w:r>
        <w:t xml:space="preserve">Финансовая модель ЦП РСФСР — пояснения к допущениям и расчётам</w:t>
      </w:r>
    </w:p>
    <w:p>
      <w:pPr>
        <w:pStyle w:val="FirstParagraph"/>
      </w:pPr>
      <w:r>
        <w:rPr>
          <w:b/>
          <w:bCs/>
        </w:rPr>
        <w:t xml:space="preserve">Документ:</w:t>
      </w:r>
      <w:r>
        <w:t xml:space="preserve"> </w:t>
      </w:r>
      <w:r>
        <w:t xml:space="preserve">сопровождающая записка к финансовой модели.</w:t>
      </w:r>
      <w:r>
        <w:t xml:space="preserve"> </w:t>
      </w:r>
      <w:r>
        <w:rPr>
          <w:b/>
          <w:bCs/>
        </w:rPr>
        <w:t xml:space="preserve">Связанный файл:</w:t>
      </w:r>
      <w:r>
        <w:t xml:space="preserve"> </w:t>
      </w:r>
      <w:r>
        <w:rPr>
          <w:rStyle w:val="VerbatimChar"/>
        </w:rPr>
        <w:t xml:space="preserve">Финансовая_модель_ЦП_РСФСР.md</w:t>
      </w:r>
      <w:r>
        <w:t xml:space="preserve"> </w:t>
      </w:r>
      <w:r>
        <w:t xml:space="preserve">(горизонт 2025-2034).</w:t>
      </w:r>
      <w:r>
        <w:t xml:space="preserve"> </w:t>
      </w:r>
      <w:r>
        <w:rPr>
          <w:b/>
          <w:bCs/>
        </w:rPr>
        <w:t xml:space="preserve">Автор концепта:</w:t>
      </w:r>
      <w:r>
        <w:t xml:space="preserve"> </w:t>
      </w:r>
      <w:r>
        <w:t xml:space="preserve">Кагиров А.-Х.А., свид. №4011265 от 19.12.2024.</w:t>
      </w:r>
    </w:p>
    <w:p>
      <w:pPr>
        <w:pStyle w:val="BodyText"/>
      </w:pPr>
      <w:r>
        <w:t xml:space="preserve">Цель — раскрыть источник каждой цифры, обозначить ограничения, чтобы любой DD-аудитор уровня «Большой четвёрки» прошёл по модели с пониманием логики.</w:t>
      </w:r>
    </w:p>
    <w:p>
      <w:r>
        <w:pict>
          <v:rect style="width:0;height:1.5pt" o:hralign="center" o:hrstd="t" o:hr="t"/>
        </w:pict>
      </w:r>
    </w:p>
    <w:bookmarkStart w:id="13" w:name="рынок-и-доля-платформы"/>
    <w:p>
      <w:pPr>
        <w:pStyle w:val="Heading2"/>
      </w:pPr>
      <w:r>
        <w:t xml:space="preserve">1. Рынок и доля платформы</w:t>
      </w:r>
    </w:p>
    <w:bookmarkStart w:id="9" w:name="залоговая-ёмкость-25-трлн"/>
    <w:p>
      <w:pPr>
        <w:pStyle w:val="Heading3"/>
      </w:pPr>
      <w:r>
        <w:t xml:space="preserve">1.1. Залоговая ёмкость 25 трлн ₽</w:t>
      </w:r>
    </w:p>
    <w:p>
      <w:pPr>
        <w:pStyle w:val="FirstParagraph"/>
      </w:pPr>
      <w:r>
        <w:t xml:space="preserve">Источник: слайд 9 презентации автора (РСФСР_6.pptx).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Сегмент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Объём, трлн 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Консервативно (10% × 50%), трлн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Жилой фонд (4,7 млрд м² × 85 000 ₽/м²)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Коммерческая недвижимость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Земельные участки (ИЖС, под предприятиями)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25,5</w:t>
            </w:r>
            <w:r>
              <w:t xml:space="preserve"> </w:t>
            </w:r>
            <w:r>
              <w:t xml:space="preserve">≈ 25</w:t>
            </w:r>
          </w:p>
        </w:tc>
      </w:tr>
    </w:tbl>
    <w:p>
      <w:pPr>
        <w:pStyle w:val="BodyText"/>
      </w:pPr>
      <w:r>
        <w:t xml:space="preserve">Логика консерватизма: автор закладывает, что только 10% активов в стране окажутся вовлечены в систему ЦФА на горизонте 10 лет, и оценочная стоимость для целей залога составит 50% рыночной. Это соответствует базельским дисконтам на залог недвижимости (LTV 50% — типичная нижняя граница для рынка).</w:t>
      </w:r>
    </w:p>
    <w:p>
      <w:pPr>
        <w:pStyle w:val="BodyText"/>
      </w:pPr>
      <w:r>
        <w:rPr>
          <w:b/>
          <w:bCs/>
        </w:rPr>
        <w:t xml:space="preserve">Ограничение.</w:t>
      </w:r>
      <w:r>
        <w:t xml:space="preserve"> </w:t>
      </w:r>
      <w:r>
        <w:t xml:space="preserve">Цифры жилфонда автора (4,7 млрд м², 85 000 ₽/м²) согласуются с данными Росстата по жилищному фонду РФ (~4,15-4,7 млрд м² на 2024 в зависимости от методологии) и средней цене квадратного метра (для всех типов жилья — 70-90 тыс. ₽/м²). Цифры коммерческой недвижимости и земли — оценка автора; в публичных источниках единого реестра нет, оценка 45+62 трлн ₽ требует независимой верификации в рамках DD.</w:t>
      </w:r>
    </w:p>
    <w:bookmarkEnd w:id="9"/>
    <w:bookmarkStart w:id="10" w:name="индексация-рынка-4-в-год"/>
    <w:p>
      <w:pPr>
        <w:pStyle w:val="Heading3"/>
      </w:pPr>
      <w:r>
        <w:t xml:space="preserve">1.2. Индексация рынка 4% в год</w:t>
      </w:r>
    </w:p>
    <w:p>
      <w:pPr>
        <w:pStyle w:val="FirstParagraph"/>
      </w:pPr>
      <w:r>
        <w:t xml:space="preserve">Источник: основной направленный показатель денежно-кредитной политики Банка России (таргет инфляции 4%). Применяется как номинальный рост рынка в рублях.</w:t>
      </w:r>
    </w:p>
    <w:bookmarkEnd w:id="10"/>
    <w:bookmarkStart w:id="11" w:name="доля-платформы-траектория"/>
    <w:p>
      <w:pPr>
        <w:pStyle w:val="Heading3"/>
      </w:pPr>
      <w:r>
        <w:t xml:space="preserve">1.3. Доля платформы — траектория</w:t>
      </w:r>
    </w:p>
    <w:p>
      <w:pPr>
        <w:pStyle w:val="FirstParagraph"/>
      </w:pPr>
      <w:r>
        <w:t xml:space="preserve">Источник: техническое задание заказчика к настоящей модели (Assumptions, раздел 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Калибровка к реальности рынка ЦФА РФ.</w:t>
      </w:r>
      <w:r>
        <w:t xml:space="preserve"> </w:t>
      </w:r>
      <w:r>
        <w:t xml:space="preserve">По открытым данным операторов ЦФА в РФ совокупный объём выпусков за 2023-2024 — порядка нескольких сотен млрд ₽; рынок находится в фазе раннего масштабирования. Доля 0,5% в год 2 от 25 трлн ₽ = 130 млрд ₽ — это уже превышает совокупный объём текущих операторов ЦФА в РФ, но соответствует допущению автора о новой категории актива «ЦФА под залог недвижимости с эмиссией ЦБ» (которой сейчас на рынке нет). Доля 20% к году 10 = 5,1 трлн ₽ в год — амбициозное, но не невозможное при условии принятия профильных ФЗ.</w:t>
      </w:r>
    </w:p>
    <w:bookmarkEnd w:id="11"/>
    <w:bookmarkStart w:id="12" w:name="стек-цфа-обращаемый-объём"/>
    <w:p>
      <w:pPr>
        <w:pStyle w:val="Heading3"/>
      </w:pPr>
      <w:r>
        <w:t xml:space="preserve">1.4. Стек ЦФА (обращаемый объём)</w:t>
      </w:r>
    </w:p>
    <w:p>
      <w:pPr>
        <w:pStyle w:val="FirstParagraph"/>
      </w:pPr>
      <w:r>
        <w:t xml:space="preserve">Формула: стек(t) = сумма выпусков за годы (t-4)..t. Предположение: средний срок жизни выпуска ЦФА = 5 лет, что соответствует средней длительности инфраструктурных и нацпроектных циклов (Минэк РФ ориентируется на 3-7-летние горизонты по большинству проектов).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тарифы-оператора"/>
    <w:p>
      <w:pPr>
        <w:pStyle w:val="Heading2"/>
      </w:pPr>
      <w:r>
        <w:t xml:space="preserve">2. Тарифы оператора</w:t>
      </w:r>
    </w:p>
    <w:bookmarkStart w:id="14" w:name="комиссия-за-выпуск-05"/>
    <w:p>
      <w:pPr>
        <w:pStyle w:val="Heading3"/>
      </w:pPr>
      <w:r>
        <w:t xml:space="preserve">2.1. Комиссия за выпуск 0,5%</w:t>
      </w:r>
    </w:p>
    <w:p>
      <w:pPr>
        <w:pStyle w:val="FirstParagraph"/>
      </w:pPr>
      <w:r>
        <w:t xml:space="preserve">Источник: исходное допущение в ТЗ. Сопоставление с рынком:</w:t>
      </w:r>
      <w:r>
        <w:t xml:space="preserve"> </w:t>
      </w:r>
      <w:r>
        <w:t xml:space="preserve">- ЦФА-операторы РФ берут 0,1-1% в зависимости от объёма и риска;</w:t>
      </w:r>
      <w:r>
        <w:t xml:space="preserve"> </w:t>
      </w:r>
      <w:r>
        <w:t xml:space="preserve">- 0,5% — медианное значение для нового, регулируемого, инфраструктурного продукта.</w:t>
      </w:r>
    </w:p>
    <w:bookmarkEnd w:id="14"/>
    <w:bookmarkStart w:id="15" w:name="сервисная-комиссия-03-от-стека"/>
    <w:p>
      <w:pPr>
        <w:pStyle w:val="Heading3"/>
      </w:pPr>
      <w:r>
        <w:t xml:space="preserve">2.2. Сервисная комиссия 0,3% от стека</w:t>
      </w:r>
    </w:p>
    <w:p>
      <w:pPr>
        <w:pStyle w:val="FirstParagraph"/>
      </w:pPr>
      <w:r>
        <w:t xml:space="preserve">Источник: ТЗ. Сопоставление:</w:t>
      </w:r>
      <w:r>
        <w:t xml:space="preserve"> </w:t>
      </w:r>
      <w:r>
        <w:t xml:space="preserve">- В классическом депозитарии сервисная комиссия — 0,05-0,15%;</w:t>
      </w:r>
      <w:r>
        <w:t xml:space="preserve"> </w:t>
      </w:r>
      <w:r>
        <w:t xml:space="preserve">- В фондах прямых инвестиций — 1-2%;</w:t>
      </w:r>
      <w:r>
        <w:t xml:space="preserve"> </w:t>
      </w:r>
      <w:r>
        <w:t xml:space="preserve">- 0,3% — компромиссная ставка для платформы, которая берёт на себя оценку, регистрацию обременения, оборот ЦФА и интеграцию с ЦБ РФ.</w:t>
      </w:r>
    </w:p>
    <w:bookmarkEnd w:id="15"/>
    <w:bookmarkStart w:id="16" w:name="платформенный-сбор-015"/>
    <w:p>
      <w:pPr>
        <w:pStyle w:val="Heading3"/>
      </w:pPr>
      <w:r>
        <w:t xml:space="preserve">2.3. Платформенный сбор 0,15%</w:t>
      </w:r>
    </w:p>
    <w:p>
      <w:pPr>
        <w:pStyle w:val="FirstParagraph"/>
      </w:pPr>
      <w:r>
        <w:t xml:space="preserve">Источник: ТЗ. Это сбор за работу модулей автоматизированной оценки и страхования (привлечение страховых компаний к залогу). Сопоставление: оценочные компании в РФ берут 0,1-0,5% от стоимости объекта; страховые премии по залогам — 0,3-0,8% годовых. Объединённый платформенный тариф 0,15% — щадящий.</w:t>
      </w:r>
    </w:p>
    <w:bookmarkEnd w:id="16"/>
    <w:bookmarkStart w:id="17" w:name="лицензии-b2b2g-траектория"/>
    <w:p>
      <w:pPr>
        <w:pStyle w:val="Heading3"/>
      </w:pPr>
      <w:r>
        <w:t xml:space="preserve">2.4. Лицензии B2B2G — траектория</w:t>
      </w:r>
    </w:p>
    <w:p>
      <w:pPr>
        <w:pStyle w:val="FirstParagraph"/>
      </w:pPr>
      <w:r>
        <w:t xml:space="preserve">Источник: ТЗ закладывает «лицензионные платежи» как линию дохода. Траектория от 0 до 0,15% от объёма выпуска — рост по мере подключения партнёрских банков и операторов к платформе.</w:t>
      </w:r>
    </w:p>
    <w:bookmarkEnd w:id="17"/>
    <w:bookmarkStart w:id="18" w:name="тех.-интеграции-фикс"/>
    <w:p>
      <w:pPr>
        <w:pStyle w:val="Heading3"/>
      </w:pPr>
      <w:r>
        <w:t xml:space="preserve">2.5. Тех. интеграции — фикс</w:t>
      </w:r>
    </w:p>
    <w:p>
      <w:pPr>
        <w:pStyle w:val="FirstParagraph"/>
      </w:pPr>
      <w:r>
        <w:t xml:space="preserve">Источник: оценка от 50 до 1 150 млн ₽ в год — на основе типовой стоимости интеграции одного партнёра (банк, страховщик, оценщик, госорган): 10-50 млн ₽ за подключение. К году 10 закладываем ~25-30 интеграций в год.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apex"/>
    <w:p>
      <w:pPr>
        <w:pStyle w:val="Heading2"/>
      </w:pPr>
      <w:r>
        <w:t xml:space="preserve">3. CapEx</w:t>
      </w:r>
    </w:p>
    <w:bookmarkStart w:id="20" w:name="итого-capex-за-18-месяцев-850-млн"/>
    <w:p>
      <w:pPr>
        <w:pStyle w:val="Heading3"/>
      </w:pPr>
      <w:r>
        <w:t xml:space="preserve">3.1. ИТОГО CapEx за 18 месяцев — 850 млн ₽</w:t>
      </w:r>
    </w:p>
    <w:p>
      <w:pPr>
        <w:pStyle w:val="FirstParagraph"/>
      </w:pPr>
      <w:r>
        <w:t xml:space="preserve">Источник: ТЗ.</w:t>
      </w:r>
    </w:p>
    <w:p>
      <w:pPr>
        <w:pStyle w:val="BodyText"/>
      </w:pPr>
      <w:r>
        <w:t xml:space="preserve">Декомпозиция:</w:t>
      </w:r>
      <w:r>
        <w:t xml:space="preserve"> </w:t>
      </w:r>
      <w:r>
        <w:t xml:space="preserve">| Статья | млн ₽ | Источник оценки |</w:t>
      </w:r>
      <w:r>
        <w:t xml:space="preserve"> </w:t>
      </w:r>
      <w:r>
        <w:t xml:space="preserve">|—|—:|—|</w:t>
      </w:r>
      <w:r>
        <w:t xml:space="preserve"> </w:t>
      </w:r>
      <w:r>
        <w:t xml:space="preserve">| Платформа (ядро + АБС-модули) | 540 | Оценочный бенчмарк: SaaS-платформа банковского уровня в РФ — 400-800 млн ₽ за 18 мес. |</w:t>
      </w:r>
      <w:r>
        <w:t xml:space="preserve"> </w:t>
      </w:r>
      <w:r>
        <w:t xml:space="preserve">| ЦОДы (резерв + гео-репликация) | 200 | Два ЦОД-площадки уровня Tier-III + сетевая инфраструктура |</w:t>
      </w:r>
      <w:r>
        <w:t xml:space="preserve"> </w:t>
      </w:r>
      <w:r>
        <w:t xml:space="preserve">| Лицензии ЦБ РФ + комплаенс | 110 | Госпошлины, юр. сопровождение, аудит ИБ по требованиям ЦБ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ИТОГО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850</w:t>
      </w:r>
      <w:r>
        <w:t xml:space="preserve"> </w:t>
      </w:r>
      <w:r>
        <w:t xml:space="preserve">| |</w:t>
      </w:r>
    </w:p>
    <w:bookmarkEnd w:id="20"/>
    <w:bookmarkStart w:id="21" w:name="дополнительные-capex-волны"/>
    <w:p>
      <w:pPr>
        <w:pStyle w:val="Heading3"/>
      </w:pPr>
      <w:r>
        <w:t xml:space="preserve">3.2. Дополнительные CapEx-волны</w:t>
      </w:r>
    </w:p>
    <w:p>
      <w:pPr>
        <w:pStyle w:val="Compact"/>
        <w:numPr>
          <w:ilvl w:val="0"/>
          <w:numId w:val="1001"/>
        </w:numPr>
      </w:pPr>
      <w:r>
        <w:t xml:space="preserve">2030 — 200 млн ₽: плановая модернизация платформы (рефакторинг, новые версии криптомодулей).</w:t>
      </w:r>
    </w:p>
    <w:p>
      <w:pPr>
        <w:pStyle w:val="Compact"/>
        <w:numPr>
          <w:ilvl w:val="0"/>
          <w:numId w:val="1001"/>
        </w:numPr>
      </w:pPr>
      <w:r>
        <w:t xml:space="preserve">2033 — 250 млн ₽: расширение ЦОД-инфраструктуры на фоне роста стека до 22 трлн ₽.</w:t>
      </w:r>
    </w:p>
    <w:p>
      <w:pPr>
        <w:pStyle w:val="FirstParagraph"/>
      </w:pPr>
      <w:r>
        <w:t xml:space="preserve">Логика: норма амортизации 1/7 в год = срок полезного использования платформы ~7 лет; через 5-7 лет нужны капитальные обновления.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opex"/>
    <w:p>
      <w:pPr>
        <w:pStyle w:val="Heading2"/>
      </w:pPr>
      <w:r>
        <w:t xml:space="preserve">4. OpEx</w:t>
      </w:r>
    </w:p>
    <w:bookmarkStart w:id="23" w:name="стартовый-opex-380-млн"/>
    <w:p>
      <w:pPr>
        <w:pStyle w:val="Heading3"/>
      </w:pPr>
      <w:r>
        <w:t xml:space="preserve">4.1. Стартовый OpEx 380 млн ₽</w:t>
      </w:r>
    </w:p>
    <w:p>
      <w:pPr>
        <w:pStyle w:val="FirstParagraph"/>
      </w:pPr>
      <w:r>
        <w:t xml:space="preserve">Источник: ТЗ. Рост 10% в год — заложен в ТЗ. По факту это покрывает темпы инфляции (4-6%) + расширение функционала и партнёрской сети.</w:t>
      </w:r>
    </w:p>
    <w:p>
      <w:pPr>
        <w:pStyle w:val="BodyText"/>
      </w:pPr>
      <w:r>
        <w:t xml:space="preserve">Декомпозиция первого года:</w:t>
      </w:r>
      <w:r>
        <w:t xml:space="preserve"> </w:t>
      </w:r>
      <w:r>
        <w:t xml:space="preserve">| Статья | млн ₽ | Логика |</w:t>
      </w:r>
      <w:r>
        <w:t xml:space="preserve"> </w:t>
      </w:r>
      <w:r>
        <w:t xml:space="preserve">|—|—:|—|</w:t>
      </w:r>
      <w:r>
        <w:t xml:space="preserve"> </w:t>
      </w:r>
      <w:r>
        <w:t xml:space="preserve">| Инфраструктура | 90 | Хостинг, связь, ИБ — для двух ЦОДов |</w:t>
      </w:r>
      <w:r>
        <w:t xml:space="preserve"> </w:t>
      </w:r>
      <w:r>
        <w:t xml:space="preserve">| Лицензии ПО | 40 | СУБД, мониторинг, инструменты разработки |</w:t>
      </w:r>
      <w:r>
        <w:t xml:space="preserve"> </w:t>
      </w:r>
      <w:r>
        <w:t xml:space="preserve">| Маркетинг | 60 | Отраслевые конференции, PR в финсегменте |</w:t>
      </w:r>
      <w:r>
        <w:t xml:space="preserve"> </w:t>
      </w:r>
      <w:r>
        <w:t xml:space="preserve">| Юр. и аудит | 50 | Постоянное юр. сопровождение, ежегодный аудит |</w:t>
      </w:r>
      <w:r>
        <w:t xml:space="preserve"> </w:t>
      </w:r>
      <w:r>
        <w:t xml:space="preserve">| Интеграторы B2B2G | 80 | Услуги внешних подрядчиков по подключению партнёров |</w:t>
      </w:r>
      <w:r>
        <w:t xml:space="preserve"> </w:t>
      </w:r>
      <w:r>
        <w:t xml:space="preserve">| Прочее | 60 | Офис, командировки, обучение |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фот"/>
    <w:p>
      <w:pPr>
        <w:pStyle w:val="Heading2"/>
      </w:pPr>
      <w:r>
        <w:t xml:space="preserve">5. ФОТ</w:t>
      </w:r>
    </w:p>
    <w:bookmarkStart w:id="25" w:name="численность-120-чел.-к-концу-года-2"/>
    <w:p>
      <w:pPr>
        <w:pStyle w:val="Heading3"/>
      </w:pPr>
      <w:r>
        <w:t xml:space="preserve">5.1. Численность 120 чел. к концу года 2</w:t>
      </w:r>
    </w:p>
    <w:p>
      <w:pPr>
        <w:pStyle w:val="FirstParagraph"/>
      </w:pPr>
      <w:r>
        <w:t xml:space="preserve">Источник: ТЗ. Траектория 40→120→160→200→240→270→300→330→350→370 чел. соответствует:</w:t>
      </w:r>
      <w:r>
        <w:t xml:space="preserve"> </w:t>
      </w:r>
      <w:r>
        <w:t xml:space="preserve">- Старт: ядерная команда разработки + первые юристы + риск-менеджмент (40 чел.).</w:t>
      </w:r>
      <w:r>
        <w:t xml:space="preserve"> </w:t>
      </w:r>
      <w:r>
        <w:t xml:space="preserve">- К году 2: полный комплект продуктовой команды + операционная служба + комплаенс (120 чел.).</w:t>
      </w:r>
      <w:r>
        <w:t xml:space="preserve"> </w:t>
      </w:r>
      <w:r>
        <w:t xml:space="preserve">- К году 5-7: масштабирование клиентской поддержки и BD (240-300 чел.).</w:t>
      </w:r>
      <w:r>
        <w:t xml:space="preserve"> </w:t>
      </w:r>
      <w:r>
        <w:t xml:space="preserve">- К году 10: 370 чел. — сопоставимо с средним российским банком средней руки или средней по размеру брокерской компанией.</w:t>
      </w:r>
    </w:p>
    <w:bookmarkEnd w:id="25"/>
    <w:bookmarkStart w:id="26" w:name="средняя-зп-350-тыс.-мес-gross-в-год-1"/>
    <w:p>
      <w:pPr>
        <w:pStyle w:val="Heading3"/>
      </w:pPr>
      <w:r>
        <w:t xml:space="preserve">5.2. Средняя ЗП 350 тыс. ₽/мес gross в год 1</w:t>
      </w:r>
    </w:p>
    <w:p>
      <w:pPr>
        <w:pStyle w:val="FirstParagraph"/>
      </w:pPr>
      <w:r>
        <w:t xml:space="preserve">Источник: ТЗ.</w:t>
      </w:r>
      <w:r>
        <w:t xml:space="preserve"> </w:t>
      </w:r>
      <w:r>
        <w:t xml:space="preserve">Сопоставление: медиана ЗП в финтех-секторе Москвы (2024-2025) — 250-400 тыс. ₽/мес gross для разработчиков и продуктовых менеджеров; 150-250 тыс. ₽/мес для операционных ролей. Средневзвешенная 350 — реалистичная отметка для команды с высокой долей senior-инженеров.</w:t>
      </w:r>
    </w:p>
    <w:p>
      <w:pPr>
        <w:pStyle w:val="BodyText"/>
      </w:pPr>
      <w:r>
        <w:t xml:space="preserve">Индексация 6% в год — выше таргета инфляции (4%), потому что финтех-сегмент в РФ имеет премию к рынку труда.</w:t>
      </w:r>
    </w:p>
    <w:bookmarkEnd w:id="26"/>
    <w:bookmarkStart w:id="27" w:name="страховые-взносы-30"/>
    <w:p>
      <w:pPr>
        <w:pStyle w:val="Heading3"/>
      </w:pPr>
      <w:r>
        <w:t xml:space="preserve">5.3. Страховые взносы 30%</w:t>
      </w:r>
    </w:p>
    <w:p>
      <w:pPr>
        <w:pStyle w:val="FirstParagraph"/>
      </w:pPr>
      <w:r>
        <w:t xml:space="preserve">НК РФ, гл. 34 (стандартная ставка для основной категории плательщиков).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налоги"/>
    <w:p>
      <w:pPr>
        <w:pStyle w:val="Heading2"/>
      </w:pPr>
      <w:r>
        <w:t xml:space="preserve">6. Налоги</w:t>
      </w:r>
    </w:p>
    <w:bookmarkStart w:id="29" w:name="налог-на-прибыль-20"/>
    <w:p>
      <w:pPr>
        <w:pStyle w:val="Heading3"/>
      </w:pPr>
      <w:r>
        <w:t xml:space="preserve">6.1. Налог на прибыль 20%</w:t>
      </w:r>
    </w:p>
    <w:p>
      <w:pPr>
        <w:pStyle w:val="FirstParagraph"/>
      </w:pPr>
      <w:r>
        <w:t xml:space="preserve">НК РФ, гл. 25. Для ЦФА-оператора не действуют льготные режимы (УСН не подходит из-за оборотов, ИТ-льготы 0% применимы только к аккредитованным ИТ-компаниям при выполнении доли ИТ-выручки 70% — на этапе зрелости оператора это не гарантировано).</w:t>
      </w:r>
    </w:p>
    <w:p>
      <w:pPr>
        <w:pStyle w:val="BodyText"/>
      </w:pPr>
      <w:r>
        <w:rPr>
          <w:b/>
          <w:bCs/>
        </w:rPr>
        <w:t xml:space="preserve">Чувствительность.</w:t>
      </w:r>
      <w:r>
        <w:t xml:space="preserve"> </w:t>
      </w:r>
      <w:r>
        <w:t xml:space="preserve">При получении ИТ-аккредитации с 2025 года и сохранении ≥70% ИТ-выручки налог на прибыль может снизиться до 0% (до 31.12.2030) или до 5% (после 01.01.2025 по новой редакции). Это даёт upside +25-30% к NPV (отдельный сценарий в чувствительности).</w:t>
      </w:r>
    </w:p>
    <w:bookmarkEnd w:id="29"/>
    <w:bookmarkStart w:id="30" w:name="ндс-20"/>
    <w:p>
      <w:pPr>
        <w:pStyle w:val="Heading3"/>
      </w:pPr>
      <w:r>
        <w:t xml:space="preserve">6.2. НДС 20%</w:t>
      </w:r>
    </w:p>
    <w:p>
      <w:pPr>
        <w:pStyle w:val="FirstParagraph"/>
      </w:pPr>
      <w:r>
        <w:t xml:space="preserve">НК РФ, гл. 21. Услуги ЦФА-оператора по выпуску и обслуживанию ЦФА в текущей редакции 259-ФЗ и НК РФ облагаются НДС. После принятия ожидаемых поправок может быть введена льготная ставка или освобождение — это upside.</w:t>
      </w:r>
    </w:p>
    <w:bookmarkEnd w:id="30"/>
    <w:bookmarkStart w:id="31" w:name="страховые-взносы-30-1"/>
    <w:p>
      <w:pPr>
        <w:pStyle w:val="Heading3"/>
      </w:pPr>
      <w:r>
        <w:t xml:space="preserve">6.3. Страховые взносы 30%</w:t>
      </w:r>
    </w:p>
    <w:p>
      <w:pPr>
        <w:pStyle w:val="FirstParagraph"/>
      </w:pPr>
      <w:r>
        <w:t xml:space="preserve">Учтены в составе ФОТ.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финансовые-ставки"/>
    <w:p>
      <w:pPr>
        <w:pStyle w:val="Heading2"/>
      </w:pPr>
      <w:r>
        <w:t xml:space="preserve">7. Финансовые ставки</w:t>
      </w:r>
    </w:p>
    <w:bookmarkStart w:id="33" w:name="wacc-22"/>
    <w:p>
      <w:pPr>
        <w:pStyle w:val="Heading3"/>
      </w:pPr>
      <w:r>
        <w:t xml:space="preserve">7.1. WACC 22%</w:t>
      </w:r>
    </w:p>
    <w:p>
      <w:pPr>
        <w:pStyle w:val="FirstParagraph"/>
      </w:pPr>
      <w:r>
        <w:t xml:space="preserve">Расчёт: КС Банка России (на 23.05.2026 — диапазон 16-21% в зависимости от траектории; берём 18% как среднюю) + риск-премия 4 п.п. за регуляторный и технологический риск нового продукта = 22%.</w:t>
      </w:r>
    </w:p>
    <w:p>
      <w:pPr>
        <w:pStyle w:val="BodyText"/>
      </w:pPr>
      <w:r>
        <w:t xml:space="preserve">Альтернативные методы:</w:t>
      </w:r>
      <w:r>
        <w:t xml:space="preserve"> </w:t>
      </w:r>
      <w:r>
        <w:t xml:space="preserve">- CAPM: безрисковая ставка ОФЗ-10Y (~14-16%) + β×ERP (β ~1,3 для финтеха × ERP 6-8% = 8-10%) = 22-26%. Согласуется с базой.</w:t>
      </w:r>
      <w:r>
        <w:t xml:space="preserve"> </w:t>
      </w:r>
      <w:r>
        <w:t xml:space="preserve">- Build-up method: безрисковая 15% + market risk 6% + size premium 2% + специфический риск 3% = 26%. Чуть выше базы.</w:t>
      </w:r>
    </w:p>
    <w:p>
      <w:pPr>
        <w:pStyle w:val="BodyText"/>
      </w:pPr>
      <w:r>
        <w:t xml:space="preserve">В консервативном сценарии WACC = 25%, в оптимистичном — 19%.</w:t>
      </w:r>
    </w:p>
    <w:bookmarkEnd w:id="33"/>
    <w:bookmarkStart w:id="34" w:name="терминальная-стоимость"/>
    <w:p>
      <w:pPr>
        <w:pStyle w:val="Heading3"/>
      </w:pPr>
      <w:r>
        <w:t xml:space="preserve">7.2. Терминальная стоимость</w:t>
      </w:r>
    </w:p>
    <w:p>
      <w:pPr>
        <w:pStyle w:val="FirstParagraph"/>
      </w:pPr>
      <w:r>
        <w:t xml:space="preserve">Модель Gordon Growth: TV = FCF₁₀ × (1+g)/(WACC−g), g=4%.</w:t>
      </w:r>
      <w:r>
        <w:t xml:space="preserve"> </w:t>
      </w:r>
      <w:r>
        <w:t xml:space="preserve">g=4% соответствует таргету ЦБ и долгосрочному номинальному росту экономики РФ. Принятие g на уровне инфляции — стандарт DCF-практики.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рабочий-капитал"/>
    <w:p>
      <w:pPr>
        <w:pStyle w:val="Heading2"/>
      </w:pPr>
      <w:r>
        <w:t xml:space="preserve">8. Рабочий капитал</w:t>
      </w:r>
    </w:p>
    <w:p>
      <w:pPr>
        <w:pStyle w:val="FirstParagraph"/>
      </w:pPr>
      <w:r>
        <w:t xml:space="preserve">5% от выручки — стандартное допущение для финтех-операторов с короткими расчётными циклами. Аналоги:</w:t>
      </w:r>
      <w:r>
        <w:t xml:space="preserve"> </w:t>
      </w:r>
      <w:r>
        <w:t xml:space="preserve">- Платёжные системы РФ: WC 3-7% от выручки.</w:t>
      </w:r>
      <w:r>
        <w:t xml:space="preserve"> </w:t>
      </w:r>
      <w:r>
        <w:t xml:space="preserve">- Депозитарии и регистраторы: WC 5-10% от выручки.</w:t>
      </w:r>
    </w:p>
    <w:p>
      <w:r>
        <w:pict>
          <v:rect style="width:0;height:1.5pt" o:hralign="center" o:hrstd="t" o:hr="t"/>
        </w:pict>
      </w:r>
    </w:p>
    <w:bookmarkEnd w:id="36"/>
    <w:bookmarkStart w:id="37" w:name="что-не-учтено-в-базовой-модели-и-почему"/>
    <w:p>
      <w:pPr>
        <w:pStyle w:val="Heading2"/>
      </w:pPr>
      <w:r>
        <w:t xml:space="preserve">9. Что не учтено в базовой модели (и почему)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Государственные субсидии.</w:t>
      </w:r>
      <w:r>
        <w:t xml:space="preserve"> </w:t>
      </w:r>
      <w:r>
        <w:t xml:space="preserve">В РФ действуют программы поддержки финтеха (РФРИТ, СберКреш, грантовые программы Минцифры). Не закладываются в базу — это upside.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Привлечение долгового финансирования.</w:t>
      </w:r>
      <w:r>
        <w:t xml:space="preserve"> </w:t>
      </w:r>
      <w:r>
        <w:t xml:space="preserve">Модель построена как «equity-only» — стартовая потребность 1,3 млрд ₽ закрывается акционерным капиталом. При смешанной структуре (долг+equity) NPV растёт за счёт налогового щита.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Курсовые риски.</w:t>
      </w:r>
      <w:r>
        <w:t xml:space="preserve"> </w:t>
      </w:r>
      <w:r>
        <w:t xml:space="preserve">Все расчёты в рублях, доходы и затраты в рублях. Валютная экспозиция отсутствует.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Конкуренция за залог.</w:t>
      </w:r>
      <w:r>
        <w:t xml:space="preserve"> </w:t>
      </w:r>
      <w:r>
        <w:t xml:space="preserve">Модель предполагает, что в первые 5 лет платформа — единственный игрок в категории «ЦФА под залог недвижимости с эмиссией ЦБ». Появление второго оператора снизит долю — это покрыто в консервативном сценарии (×0,5).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Регуляторный риск отказа.</w:t>
      </w:r>
      <w:r>
        <w:t xml:space="preserve"> </w:t>
      </w:r>
      <w:r>
        <w:t xml:space="preserve">Если профильные поправки в 86-ФЗ и 259-ФЗ не примут, проект не запустится. Это бинарный риск — отдельно раскрыт в бизнес-плане.</w:t>
      </w:r>
    </w:p>
    <w:p>
      <w:r>
        <w:pict>
          <v:rect style="width:0;height:1.5pt" o:hralign="center" o:hrstd="t" o:hr="t"/>
        </w:pict>
      </w:r>
    </w:p>
    <w:bookmarkEnd w:id="37"/>
    <w:bookmarkStart w:id="38" w:name="источники"/>
    <w:p>
      <w:pPr>
        <w:pStyle w:val="Heading2"/>
      </w:pPr>
      <w:r>
        <w:t xml:space="preserve">10. Источники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Залоговая ёмкость</w:t>
            </w:r>
          </w:p>
        </w:tc>
        <w:tc>
          <w:tcPr/>
          <w:p>
            <w:pPr>
              <w:pStyle w:val="Compact"/>
            </w:pPr>
            <w:r>
              <w:t xml:space="preserve">Концепт автора (РСФСР_6.pptx, слайд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Налоговые ставки</w:t>
            </w:r>
          </w:p>
        </w:tc>
        <w:tc>
          <w:tcPr/>
          <w:p>
            <w:pPr>
              <w:pStyle w:val="Compact"/>
            </w:pPr>
            <w:r>
              <w:t xml:space="preserve">Налоговый кодекс РФ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Таргет инфляции</w:t>
            </w:r>
          </w:p>
        </w:tc>
        <w:tc>
          <w:tcPr/>
          <w:p>
            <w:pPr>
              <w:pStyle w:val="Compact"/>
            </w:pPr>
            <w:r>
              <w:t xml:space="preserve">Основные направления денежно-кредитной политики Банка России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Ключевая ставка</w:t>
            </w:r>
          </w:p>
        </w:tc>
        <w:tc>
          <w:tcPr/>
          <w:p>
            <w:pPr>
              <w:pStyle w:val="Compact"/>
            </w:pPr>
            <w:r>
              <w:t xml:space="preserve">Решения Совета директоров ЦБ РФ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Жилфонд РФ</w:t>
            </w:r>
          </w:p>
        </w:tc>
        <w:tc>
          <w:tcPr/>
          <w:p>
            <w:pPr>
              <w:pStyle w:val="Compact"/>
            </w:pPr>
            <w:r>
              <w:t xml:space="preserve">Росстат (форма №1-жилфонд)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Бенчмарки ЗП</w:t>
            </w:r>
          </w:p>
        </w:tc>
        <w:tc>
          <w:tcPr/>
          <w:p>
            <w:pPr>
              <w:pStyle w:val="Compact"/>
            </w:pPr>
            <w:r>
              <w:t xml:space="preserve">Открытые отчёты HeadHunter, Хабр Карьера 2024-2025 (агрегированно)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Бенчмарки CapEx платформ</w:t>
            </w:r>
          </w:p>
        </w:tc>
        <w:tc>
          <w:tcPr/>
          <w:p>
            <w:pPr>
              <w:pStyle w:val="Compact"/>
            </w:pPr>
            <w:r>
              <w:t xml:space="preserve">Открытые презентации российских финтех-проектов</w:t>
            </w:r>
          </w:p>
        </w:tc>
      </w:tr>
    </w:tbl>
    <w:p>
      <w:pPr>
        <w:pStyle w:val="BodyText"/>
      </w:pPr>
      <w:r>
        <w:t xml:space="preserve">Сторонние материалы из других проектов и папок не использовались.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Дата:</w:t>
      </w:r>
      <w:r>
        <w:t xml:space="preserve"> </w:t>
      </w:r>
      <w:r>
        <w:t xml:space="preserve">23.05.2026</w:t>
      </w:r>
      <w:r>
        <w:t xml:space="preserve"> </w:t>
      </w:r>
      <w:r>
        <w:rPr>
          <w:b/>
          <w:bCs/>
        </w:rPr>
        <w:t xml:space="preserve">Подготовлено в рамках проекта ЦП РСФСР.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2026-05-23T20:40:15Z</dcterms:created>
  <dcterms:modified xsi:type="dcterms:W3CDTF">2026-05-23T20:40:15Z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