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Xe9fcfaab6e9bc4ebcd55ab15c105dbb4bc85ac1"/>
    <w:p>
      <w:pPr>
        <w:pStyle w:val="Heading1"/>
      </w:pPr>
      <w:r>
        <w:t xml:space="preserve">Бизнес-план Цифровой Платформы «Российский Сервис Финансирования Социального Развития» (ЦП РСФСР)</w:t>
      </w:r>
    </w:p>
    <w:p>
      <w:pPr>
        <w:pStyle w:val="FirstParagraph"/>
      </w:pPr>
      <w:r>
        <w:rPr>
          <w:b/>
          <w:bCs/>
        </w:rPr>
        <w:t xml:space="preserve">Оператор:</w:t>
      </w:r>
      <w:r>
        <w:t xml:space="preserve"> </w:t>
      </w:r>
      <w:r>
        <w:t xml:space="preserve">Цифровая Платформа РСФСР — оператор выпуска ЦФА под залог имущества с эмиссией денежных средств ЦБ РФ.</w:t>
      </w:r>
      <w:r>
        <w:t xml:space="preserve"> </w:t>
      </w:r>
      <w:r>
        <w:rPr>
          <w:b/>
          <w:bCs/>
        </w:rPr>
        <w:t xml:space="preserve">Автор концепта и правообладатель ноу-хау:</w:t>
      </w:r>
      <w:r>
        <w:t xml:space="preserve"> </w:t>
      </w:r>
      <w:r>
        <w:t xml:space="preserve">Кагиров Абдул-Хаким Ахмадович.</w:t>
      </w:r>
      <w:r>
        <w:t xml:space="preserve"> </w:t>
      </w:r>
      <w:r>
        <w:rPr>
          <w:b/>
          <w:bCs/>
        </w:rPr>
        <w:t xml:space="preserve">Свидетельство о депонировании:</w:t>
      </w:r>
      <w:r>
        <w:t xml:space="preserve"> </w:t>
      </w:r>
      <w:r>
        <w:t xml:space="preserve">№4011265 от 19.12.2024 (ireg.pro, ГОСТ-Р 34.11-2012).</w:t>
      </w:r>
      <w:r>
        <w:t xml:space="preserve"> </w:t>
      </w:r>
      <w:r>
        <w:rPr>
          <w:b/>
          <w:bCs/>
        </w:rPr>
        <w:t xml:space="preserve">Дата документа:</w:t>
      </w:r>
      <w:r>
        <w:t xml:space="preserve"> </w:t>
      </w:r>
      <w:r>
        <w:t xml:space="preserve">23.05.2026.</w:t>
      </w:r>
    </w:p>
    <w:p>
      <w:r>
        <w:pict>
          <v:rect style="width:0;height:1.5pt" o:hralign="center" o:hrstd="t" o:hr="t"/>
        </w:pict>
      </w:r>
    </w:p>
    <w:bookmarkStart w:id="9" w:name="резюме-проекта"/>
    <w:p>
      <w:pPr>
        <w:pStyle w:val="Heading2"/>
      </w:pPr>
      <w:r>
        <w:t xml:space="preserve">1. Резюме проекта</w:t>
      </w:r>
    </w:p>
    <w:p>
      <w:pPr>
        <w:pStyle w:val="FirstParagraph"/>
      </w:pPr>
      <w:r>
        <w:rPr>
          <w:b/>
          <w:bCs/>
        </w:rPr>
        <w:t xml:space="preserve">Что.</w:t>
      </w:r>
      <w:r>
        <w:t xml:space="preserve"> </w:t>
      </w:r>
      <w:r>
        <w:t xml:space="preserve">ЦП РСФСР — цифровая платформа-оператор, обеспечивающая полный цикл выпуска и обслуживания цифровых финансовых активов (ЦФА), номинированных под залог недвижимого и иного имущества, с эмиссией денежных средств Банком России на специальный эскроу-счёт и целевым использованием через Федеральное казначейство.</w:t>
      </w:r>
    </w:p>
    <w:p>
      <w:pPr>
        <w:pStyle w:val="BodyText"/>
      </w:pPr>
      <w:r>
        <w:rPr>
          <w:b/>
          <w:bCs/>
        </w:rPr>
        <w:t xml:space="preserve">Зачем.</w:t>
      </w:r>
      <w:r>
        <w:t xml:space="preserve"> </w:t>
      </w:r>
      <w:r>
        <w:t xml:space="preserve">Высвобождение «спящей» залоговой массы РФ (консервативно — 25 трлн ₽) под целевое финансирование национальных и инфраструктурных проектов — без увеличения нагрузки на бюджет и при сохранении прав собственников.</w:t>
      </w:r>
    </w:p>
    <w:p>
      <w:pPr>
        <w:pStyle w:val="BodyText"/>
      </w:pPr>
      <w:r>
        <w:rPr>
          <w:b/>
          <w:bCs/>
        </w:rPr>
        <w:t xml:space="preserve">Кому.</w:t>
      </w:r>
      <w:r>
        <w:t xml:space="preserve"> </w:t>
      </w:r>
      <w:r>
        <w:t xml:space="preserve">- Государство — внебюджетный источник целевых средств на нацпроекты.</w:t>
      </w:r>
      <w:r>
        <w:t xml:space="preserve"> </w:t>
      </w:r>
      <w:r>
        <w:t xml:space="preserve">- Собственники имущества (физические и юридические лица) — дополнительный доход при сохранении объекта в собственности.</w:t>
      </w:r>
      <w:r>
        <w:t xml:space="preserve"> </w:t>
      </w:r>
      <w:r>
        <w:t xml:space="preserve">- Инвесторы — новый класс надёжных, обеспеченных, регулируемых инструментов.</w:t>
      </w:r>
      <w:r>
        <w:t xml:space="preserve"> </w:t>
      </w:r>
      <w:r>
        <w:t xml:space="preserve">- Финансовый сектор (банки, страховые, оценщики) — новые сервисные доходы.</w:t>
      </w:r>
    </w:p>
    <w:p>
      <w:pPr>
        <w:pStyle w:val="BodyText"/>
      </w:pPr>
      <w:r>
        <w:rPr>
          <w:b/>
          <w:bCs/>
        </w:rPr>
        <w:t xml:space="preserve">Сколько.</w:t>
      </w:r>
      <w:r>
        <w:t xml:space="preserve"> </w:t>
      </w:r>
      <w:r>
        <w:t xml:space="preserve">- CapEx за 18 месяцев — 850 млн ₽.</w:t>
      </w:r>
      <w:r>
        <w:t xml:space="preserve"> </w:t>
      </w:r>
      <w:r>
        <w:t xml:space="preserve">- Совокупный CapEx за 10 лет — 1 300 млн ₽.</w:t>
      </w:r>
      <w:r>
        <w:t xml:space="preserve"> </w:t>
      </w:r>
      <w:r>
        <w:t xml:space="preserve">- Пиковая потребность в финансировании — 1 302 млн ₽ (конец 2026 года).</w:t>
      </w:r>
    </w:p>
    <w:p>
      <w:pPr>
        <w:pStyle w:val="BodyText"/>
      </w:pPr>
      <w:r>
        <w:rPr>
          <w:b/>
          <w:bCs/>
        </w:rPr>
        <w:t xml:space="preserve">Когда.</w:t>
      </w:r>
      <w:r>
        <w:t xml:space="preserve"> </w:t>
      </w:r>
      <w:r>
        <w:t xml:space="preserve">- Старт — 2025 год (подготовка, лицензии, R&amp;D).</w:t>
      </w:r>
      <w:r>
        <w:t xml:space="preserve"> </w:t>
      </w:r>
      <w:r>
        <w:t xml:space="preserve">- Запуск операционной деятельности — 2026 год (через 18 мес. от старта).</w:t>
      </w:r>
      <w:r>
        <w:t xml:space="preserve"> </w:t>
      </w:r>
      <w:r>
        <w:t xml:space="preserve">- Пилот — 2026-2027 годы.</w:t>
      </w:r>
      <w:r>
        <w:t xml:space="preserve"> </w:t>
      </w:r>
      <w:r>
        <w:t xml:space="preserve">- Масштабирование — 2028-2030 годы.</w:t>
      </w:r>
      <w:r>
        <w:t xml:space="preserve"> </w:t>
      </w:r>
      <w:r>
        <w:t xml:space="preserve">- Зрелая стадия — с 2031 года.</w:t>
      </w:r>
    </w:p>
    <w:p>
      <w:pPr>
        <w:pStyle w:val="BodyText"/>
      </w:pPr>
      <w:r>
        <w:rPr>
          <w:b/>
          <w:bCs/>
        </w:rPr>
        <w:t xml:space="preserve">На чём заработаем.</w:t>
      </w:r>
      <w:r>
        <w:t xml:space="preserve"> </w:t>
      </w:r>
      <w:r>
        <w:t xml:space="preserve">- Комиссия за выпуск ЦФА — 0,5% от номинала.</w:t>
      </w:r>
      <w:r>
        <w:t xml:space="preserve"> </w:t>
      </w:r>
      <w:r>
        <w:t xml:space="preserve">- Сервисная комиссия — 0,3% от обращаемого стека.</w:t>
      </w:r>
      <w:r>
        <w:t xml:space="preserve"> </w:t>
      </w:r>
      <w:r>
        <w:t xml:space="preserve">- Платформенный сбор (оценка/страхование) — 0,15% от номинала.</w:t>
      </w:r>
      <w:r>
        <w:t xml:space="preserve"> </w:t>
      </w:r>
      <w:r>
        <w:t xml:space="preserve">- Лицензии партнёрам B2B2G — до 0,15% от объёма выпуска.</w:t>
      </w:r>
      <w:r>
        <w:t xml:space="preserve"> </w:t>
      </w:r>
      <w:r>
        <w:t xml:space="preserve">- Технологические интеграции — фикс.</w:t>
      </w:r>
    </w:p>
    <w:p>
      <w:pPr>
        <w:pStyle w:val="BodyText"/>
      </w:pPr>
      <w:r>
        <w:rPr>
          <w:b/>
          <w:bCs/>
        </w:rPr>
        <w:t xml:space="preserve">Что просим.</w:t>
      </w:r>
      <w:r>
        <w:t xml:space="preserve"> </w:t>
      </w:r>
      <w:r>
        <w:t xml:space="preserve">Стартовое финансирование 1,3 млрд ₽ (CapEx + операционный буфер на 18 месяцев). Возврат — Payback 2,4 года (базовый сценарий).</w:t>
      </w:r>
    </w:p>
    <w:p>
      <w:pPr>
        <w:pStyle w:val="BodyText"/>
      </w:pPr>
      <w:r>
        <w:rPr>
          <w:b/>
          <w:bCs/>
        </w:rPr>
        <w:t xml:space="preserve">Ключевые финансовые показатели (базовый сценарий, WACC 22%):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NPV (с терминальной стоимостью, g=4%)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170,1 млрд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~228%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Payback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 года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Пиковая потребность в финансировании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 млрд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Выручка год 5 (2029)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37,5 млрд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Выручка год 10 (2034)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137,9 млрд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EBITDA год 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133,6 млрд ₽</w:t>
            </w:r>
          </w:p>
        </w:tc>
      </w:tr>
    </w:tbl>
    <w:p>
      <w:pPr>
        <w:pStyle w:val="BodyText"/>
      </w:pPr>
      <w:r>
        <w:t xml:space="preserve">Консервативный сценарий (доля рынка ×0,5, комиссии ×0,8, OpEx ×1,15, WACC 25%): NPV ~57 млрд ₽, IRR ~150%, Payback 3,1 года, выручка 2034 — 56,4 млрд ₽. Запас прочности по NPV — более чем 40-кратный к стартовому капиталу.</w:t>
      </w:r>
    </w:p>
    <w:p>
      <w:r>
        <w:pict>
          <v:rect style="width:0;height:1.5pt" o:hralign="center" o:hrstd="t" o:hr="t"/>
        </w:pict>
      </w:r>
    </w:p>
    <w:bookmarkEnd w:id="9"/>
    <w:bookmarkStart w:id="15" w:name="описание-компании-оператора"/>
    <w:p>
      <w:pPr>
        <w:pStyle w:val="Heading2"/>
      </w:pPr>
      <w:r>
        <w:t xml:space="preserve">2. Описание компании-оператора</w:t>
      </w:r>
    </w:p>
    <w:bookmarkStart w:id="10" w:name="организационно-правовая-форма"/>
    <w:p>
      <w:pPr>
        <w:pStyle w:val="Heading3"/>
      </w:pPr>
      <w:r>
        <w:t xml:space="preserve">2.1. Организационно-правовая форма</w:t>
      </w:r>
    </w:p>
    <w:p>
      <w:pPr>
        <w:pStyle w:val="FirstParagraph"/>
      </w:pPr>
      <w:r>
        <w:t xml:space="preserve">Рекомендуемая форма —</w:t>
      </w:r>
      <w:r>
        <w:t xml:space="preserve"> </w:t>
      </w:r>
      <w:r>
        <w:rPr>
          <w:b/>
          <w:bCs/>
        </w:rPr>
        <w:t xml:space="preserve">акционерное общество (АО)</w:t>
      </w:r>
      <w:r>
        <w:t xml:space="preserve">:</w:t>
      </w:r>
      <w:r>
        <w:t xml:space="preserve"> </w:t>
      </w:r>
      <w:r>
        <w:t xml:space="preserve">- Соответствует требованиям ЦБ РФ к операторам ЦФА (259-ФЗ, ст. 10): минимальный собственный капитал, корпоративное управление, требования к составу акционеров.</w:t>
      </w:r>
      <w:r>
        <w:t xml:space="preserve"> </w:t>
      </w:r>
      <w:r>
        <w:t xml:space="preserve">- Позволяет привлекать стратегических инвесторов через выпуск акций.</w:t>
      </w:r>
      <w:r>
        <w:t xml:space="preserve"> </w:t>
      </w:r>
      <w:r>
        <w:t xml:space="preserve">- Совместимо с режимом стратегического государственного актива (если такая модель будет согласована).</w:t>
      </w:r>
    </w:p>
    <w:bookmarkEnd w:id="10"/>
    <w:bookmarkStart w:id="11" w:name="учредители-и-контур-владения"/>
    <w:p>
      <w:pPr>
        <w:pStyle w:val="Heading3"/>
      </w:pPr>
      <w:r>
        <w:t xml:space="preserve">2.2. Учредители и контур владения</w:t>
      </w:r>
    </w:p>
    <w:p>
      <w:pPr>
        <w:pStyle w:val="FirstParagraph"/>
      </w:pPr>
      <w:r>
        <w:t xml:space="preserve">Учредительный пакет должен учитывать: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Правообладатель ноу-хау</w:t>
      </w:r>
      <w:r>
        <w:t xml:space="preserve"> </w:t>
      </w:r>
      <w:r>
        <w:t xml:space="preserve">— Кагиров Абдул-Хаким Ахмадович (свид. №4011265 от 19.12.2024). Доля учредителя обеспечивается передачей лицензии или внесением исключительного права в уставный капитал по оценке независимого оценщика.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Институциональные акционеры</w:t>
      </w:r>
      <w:r>
        <w:t xml:space="preserve"> </w:t>
      </w:r>
      <w:r>
        <w:t xml:space="preserve">— рекомендуется привлечение профильных институциональных инвесторов (банки развития, государственные финансовые корпорации, регулятор) для обеспечения политической поддержки и регуляторного комфорта.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Контроль ЦБ РФ.</w:t>
      </w:r>
      <w:r>
        <w:t xml:space="preserve"> </w:t>
      </w:r>
      <w:r>
        <w:t xml:space="preserve">В исходной концепции автора прямо указано, что управление и/или реализация ЦФА — функция Банка России. Это требует либо специальной правовой формы (например, государственная корпорация по аналогии с ВЭБ.РФ), либо договорной модели взаимодействия оператора и ЦБ РФ. В рамках бизнес-плана рассматривается АО с лицензией ЦБ РФ и регуляторным контуром, аналогичным контуру для системно значимых инфраструктурных организаций финансового рынка.</w:t>
      </w:r>
    </w:p>
    <w:bookmarkEnd w:id="11"/>
    <w:bookmarkStart w:id="12" w:name="юрисдикция"/>
    <w:p>
      <w:pPr>
        <w:pStyle w:val="Heading3"/>
      </w:pPr>
      <w:r>
        <w:t xml:space="preserve">2.3. Юрисдикция</w:t>
      </w:r>
    </w:p>
    <w:p>
      <w:pPr>
        <w:pStyle w:val="FirstParagraph"/>
      </w:pPr>
      <w:r>
        <w:t xml:space="preserve">Российская Федерация. Регистрация в Москве — соответствует размещению ключевых регуляторов (ЦБ РФ, Минфин, Минэк, Минцифры), Федерального казначейства, ключевых банковских контрагентов.</w:t>
      </w:r>
    </w:p>
    <w:bookmarkEnd w:id="12"/>
    <w:bookmarkStart w:id="13" w:name="налоговый-статус"/>
    <w:p>
      <w:pPr>
        <w:pStyle w:val="Heading3"/>
      </w:pPr>
      <w:r>
        <w:t xml:space="preserve">2.4. Налоговый статус</w:t>
      </w:r>
    </w:p>
    <w:p>
      <w:pPr>
        <w:pStyle w:val="FirstParagraph"/>
      </w:pPr>
      <w:r>
        <w:t xml:space="preserve">При получении ИТ-аккредитации Минцифры и сохранении ≥70% ИТ-выручки применима льгота по налогу на прибыль (5% или 0% в зависимости от редакции НК РФ на дату). При построении базового сценария налог 20% — консервативная база. Льгота — отдельный upside на оценку.</w:t>
      </w:r>
    </w:p>
    <w:bookmarkEnd w:id="13"/>
    <w:bookmarkStart w:id="14" w:name="защита-интеллектуальной-собственности"/>
    <w:p>
      <w:pPr>
        <w:pStyle w:val="Heading3"/>
      </w:pPr>
      <w:r>
        <w:t xml:space="preserve">2.5. Защита интеллектуальной собственности</w:t>
      </w:r>
    </w:p>
    <w:p>
      <w:pPr>
        <w:pStyle w:val="FirstParagraph"/>
      </w:pPr>
      <w:r>
        <w:t xml:space="preserve">Ядро ноу-хау оператора — концепция автора, защищённая свидетельством о депонировании №4011265 от 19.12.2024. Срок действия — 70 лет с даты внесения. На этапе создания компании-оператора правообладатель передаёт оператору исключительные либо неисключительные права на использование ноу-хау с фиксацией условий вознаграждения (лицензионное соглашение либо вклад в уставный капитал).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описание-продуктауслуги"/>
    <w:p>
      <w:pPr>
        <w:pStyle w:val="Heading2"/>
      </w:pPr>
      <w:r>
        <w:t xml:space="preserve">3. Описание продукта/услуги</w:t>
      </w:r>
    </w:p>
    <w:bookmarkStart w:id="16" w:name="что-такое-цп-рсфср"/>
    <w:p>
      <w:pPr>
        <w:pStyle w:val="Heading3"/>
      </w:pPr>
      <w:r>
        <w:t xml:space="preserve">3.1. Что такое ЦП РСФСР</w:t>
      </w:r>
    </w:p>
    <w:p>
      <w:pPr>
        <w:pStyle w:val="FirstParagraph"/>
      </w:pPr>
      <w:r>
        <w:t xml:space="preserve">ЦП РСФСР — цифровая платформа полного цикла, которая:</w:t>
      </w:r>
      <w:r>
        <w:t xml:space="preserve"> </w:t>
      </w:r>
      <w:r>
        <w:t xml:space="preserve">1. Принимает от собственника заявку на залог имущества (недвижимости, транспорта, интеллектуальной собственности, ценных бумаг и пр.).</w:t>
      </w:r>
      <w:r>
        <w:t xml:space="preserve"> </w:t>
      </w:r>
      <w:r>
        <w:t xml:space="preserve">2. Производит автоматизированную оценку залогового объекта с привлечением аккредитованных оценщиков.</w:t>
      </w:r>
      <w:r>
        <w:t xml:space="preserve"> </w:t>
      </w:r>
      <w:r>
        <w:t xml:space="preserve">3. Регистрирует временное обременение на объект в соответствующих государственных реестрах (Росреестр, ГИБДД, депозитарии).</w:t>
      </w:r>
      <w:r>
        <w:t xml:space="preserve"> </w:t>
      </w:r>
      <w:r>
        <w:t xml:space="preserve">4. Передаёт результаты оценки в Банк России для согласования выпуска ЦФА.</w:t>
      </w:r>
      <w:r>
        <w:t xml:space="preserve"> </w:t>
      </w:r>
      <w:r>
        <w:t xml:space="preserve">5. Выпускает ЦФА в номинальной стоимости, соответствующей залоговой оценке (с учётом норматива дисконта).</w:t>
      </w:r>
      <w:r>
        <w:t xml:space="preserve"> </w:t>
      </w:r>
      <w:r>
        <w:t xml:space="preserve">6. ЦБ РФ производит эмиссию денежных средств под выпущенный ЦФА и зачисляет их на специальный эскроу-счёт под управлением ЦБ.</w:t>
      </w:r>
      <w:r>
        <w:t xml:space="preserve"> </w:t>
      </w:r>
      <w:r>
        <w:t xml:space="preserve">7. Средства с эскроу направляются через Федеральное казначейство на финансирование национальных проектов и инфраструктурных программ в соответствии с принятыми ФЗ и подзаконными актами.</w:t>
      </w:r>
      <w:r>
        <w:t xml:space="preserve"> </w:t>
      </w:r>
      <w:r>
        <w:t xml:space="preserve">8. ЦФА могут быть реализованы профессиональным участникам рынка ценных бумаг; средства от реализации зачисляются на специальные эскроу-счета ЦБ РФ.</w:t>
      </w:r>
      <w:r>
        <w:t xml:space="preserve"> </w:t>
      </w:r>
      <w:r>
        <w:t xml:space="preserve">9. По завершении срока проекта производится мена: ЦФА погашается, обременение с имущества снимается, собственник получает обратно свой объект и заранее согласованное финансовое вознаграждение.</w:t>
      </w:r>
    </w:p>
    <w:bookmarkEnd w:id="16"/>
    <w:bookmarkStart w:id="17" w:name="X4e562211fb84561ef710af25d5007e239e06a85"/>
    <w:p>
      <w:pPr>
        <w:pStyle w:val="Heading3"/>
      </w:pPr>
      <w:r>
        <w:t xml:space="preserve">3.2. Чем продукт отличается от существующих ЦФА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Существующие ЦФА в РФ</w:t>
            </w:r>
          </w:p>
        </w:tc>
        <w:tc>
          <w:tcPr/>
          <w:p>
            <w:pPr>
              <w:pStyle w:val="Compact"/>
            </w:pPr>
            <w:r>
              <w:t xml:space="preserve">ЦП РСФСР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Обеспечение</w:t>
            </w:r>
          </w:p>
        </w:tc>
        <w:tc>
          <w:tcPr/>
          <w:p>
            <w:pPr>
              <w:pStyle w:val="Compact"/>
            </w:pPr>
            <w:r>
              <w:t xml:space="preserve">Денежные требования, акции, обязательства</w:t>
            </w:r>
          </w:p>
        </w:tc>
        <w:tc>
          <w:tcPr/>
          <w:p>
            <w:pPr>
              <w:pStyle w:val="Compact"/>
            </w:pPr>
            <w:r>
              <w:t xml:space="preserve">Физическое и нематериальное имущество (под залог)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Эмиссия средств</w:t>
            </w:r>
          </w:p>
        </w:tc>
        <w:tc>
          <w:tcPr/>
          <w:p>
            <w:pPr>
              <w:pStyle w:val="Compact"/>
            </w:pPr>
            <w:r>
              <w:t xml:space="preserve">Покупатель ЦФА оплачивает рублями</w:t>
            </w:r>
          </w:p>
        </w:tc>
        <w:tc>
          <w:tcPr/>
          <w:p>
            <w:pPr>
              <w:pStyle w:val="Compact"/>
            </w:pPr>
            <w:r>
              <w:t xml:space="preserve">ЦБ РФ производит новую эмиссию под выпуск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</w:pPr>
            <w:r>
              <w:t xml:space="preserve">Свободное</w:t>
            </w:r>
          </w:p>
        </w:tc>
        <w:tc>
          <w:tcPr/>
          <w:p>
            <w:pPr>
              <w:pStyle w:val="Compact"/>
            </w:pPr>
            <w:r>
              <w:t xml:space="preserve">Целевое (нацпроекты, инфраструктура)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Контур</w:t>
            </w:r>
          </w:p>
        </w:tc>
        <w:tc>
          <w:tcPr/>
          <w:p>
            <w:pPr>
              <w:pStyle w:val="Compact"/>
            </w:pPr>
            <w:r>
              <w:t xml:space="preserve">Частный оператор, ЦБ — регулятор</w:t>
            </w:r>
          </w:p>
        </w:tc>
        <w:tc>
          <w:tcPr/>
          <w:p>
            <w:pPr>
              <w:pStyle w:val="Compact"/>
            </w:pPr>
            <w:r>
              <w:t xml:space="preserve">Оператор + прямой эмиссионный контур ЦБ РФ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Возврат имущества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После завершения проекта — мена и возврат</w:t>
            </w:r>
          </w:p>
        </w:tc>
      </w:tr>
    </w:tbl>
    <w:bookmarkEnd w:id="17"/>
    <w:bookmarkStart w:id="18" w:name="преимущества-по-концепту-автора"/>
    <w:p>
      <w:pPr>
        <w:pStyle w:val="Heading3"/>
      </w:pPr>
      <w:r>
        <w:t xml:space="preserve">3.3. Преимущества (по концепту автора)</w:t>
      </w:r>
    </w:p>
    <w:p>
      <w:pPr>
        <w:pStyle w:val="Compact"/>
        <w:numPr>
          <w:ilvl w:val="0"/>
          <w:numId w:val="1001"/>
        </w:numPr>
      </w:pPr>
      <w:r>
        <w:t xml:space="preserve">Прямое онлайн-взаимодействие залогодателя, финансовых агентов и исполнителей под контролем ЦБ РФ.</w:t>
      </w:r>
    </w:p>
    <w:p>
      <w:pPr>
        <w:pStyle w:val="Compact"/>
        <w:numPr>
          <w:ilvl w:val="0"/>
          <w:numId w:val="1001"/>
        </w:numPr>
      </w:pPr>
      <w:r>
        <w:t xml:space="preserve">Сокращение сроков оценки и оформления залога.</w:t>
      </w:r>
    </w:p>
    <w:p>
      <w:pPr>
        <w:pStyle w:val="Compact"/>
        <w:numPr>
          <w:ilvl w:val="0"/>
          <w:numId w:val="1001"/>
        </w:numPr>
      </w:pPr>
      <w:r>
        <w:t xml:space="preserve">Толчок развитию индустрии ЦФА в России.</w:t>
      </w:r>
    </w:p>
    <w:p>
      <w:pPr>
        <w:pStyle w:val="Compact"/>
        <w:numPr>
          <w:ilvl w:val="0"/>
          <w:numId w:val="1001"/>
        </w:numPr>
      </w:pPr>
      <w:r>
        <w:t xml:space="preserve">Привлечение «спящих» частных активов в экономический оборот.</w:t>
      </w:r>
    </w:p>
    <w:p>
      <w:pPr>
        <w:pStyle w:val="Compact"/>
        <w:numPr>
          <w:ilvl w:val="0"/>
          <w:numId w:val="1001"/>
        </w:numPr>
      </w:pPr>
      <w:r>
        <w:t xml:space="preserve">Решение объёмных государственных проектов без увеличения долговой нагрузки.</w:t>
      </w:r>
    </w:p>
    <w:p>
      <w:pPr>
        <w:pStyle w:val="Compact"/>
        <w:numPr>
          <w:ilvl w:val="0"/>
          <w:numId w:val="1001"/>
        </w:numPr>
      </w:pPr>
      <w:r>
        <w:t xml:space="preserve">Сокращение очерёдности финансирования глобальных проектов.</w:t>
      </w:r>
    </w:p>
    <w:p>
      <w:pPr>
        <w:pStyle w:val="Compact"/>
        <w:numPr>
          <w:ilvl w:val="0"/>
          <w:numId w:val="1001"/>
        </w:numPr>
      </w:pPr>
      <w:r>
        <w:t xml:space="preserve">Импульс реальному сектору экономики.</w:t>
      </w:r>
    </w:p>
    <w:p>
      <w:pPr>
        <w:pStyle w:val="Compact"/>
        <w:numPr>
          <w:ilvl w:val="0"/>
          <w:numId w:val="1001"/>
        </w:numPr>
      </w:pPr>
      <w:r>
        <w:t xml:space="preserve">Внебюджетное финансирование госпроектов в денежноёмких отраслях (тяжёлая промышленность, машиностроение, медицина, наука).</w:t>
      </w:r>
    </w:p>
    <w:p>
      <w:pPr>
        <w:pStyle w:val="Compact"/>
        <w:numPr>
          <w:ilvl w:val="0"/>
          <w:numId w:val="1001"/>
        </w:numPr>
      </w:pPr>
      <w:r>
        <w:t xml:space="preserve">Финансовое вознаграждение собственнику залогового имущества.</w:t>
      </w:r>
    </w:p>
    <w:p>
      <w:pPr>
        <w:pStyle w:val="Compact"/>
        <w:numPr>
          <w:ilvl w:val="0"/>
          <w:numId w:val="1001"/>
        </w:numPr>
      </w:pPr>
      <w:r>
        <w:t xml:space="preserve">Инфляционные процессы остаются в обычном режиме (эмиссия идёт под полностью обеспеченные активы).</w:t>
      </w:r>
    </w:p>
    <w:bookmarkEnd w:id="18"/>
    <w:bookmarkStart w:id="19" w:name="условия-запуска-по-концепту-автора"/>
    <w:p>
      <w:pPr>
        <w:pStyle w:val="Heading3"/>
      </w:pPr>
      <w:r>
        <w:t xml:space="preserve">3.4. Условия запуска (по концепту автора)</w:t>
      </w:r>
    </w:p>
    <w:p>
      <w:pPr>
        <w:pStyle w:val="Compact"/>
        <w:numPr>
          <w:ilvl w:val="0"/>
          <w:numId w:val="1002"/>
        </w:numPr>
      </w:pPr>
      <w:r>
        <w:t xml:space="preserve">Внесение изменений в законодательство РФ (новые ФЗ, поправки в 86-ФЗ «О Банке России» и 259-ФЗ «О ЦФА»).</w:t>
      </w:r>
    </w:p>
    <w:p>
      <w:pPr>
        <w:pStyle w:val="Compact"/>
        <w:numPr>
          <w:ilvl w:val="0"/>
          <w:numId w:val="1002"/>
        </w:numPr>
      </w:pPr>
      <w:r>
        <w:t xml:space="preserve">Политическая воля на уровне руководства страны.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анализ-рынка"/>
    <w:p>
      <w:pPr>
        <w:pStyle w:val="Heading2"/>
      </w:pPr>
      <w:r>
        <w:t xml:space="preserve">4. Анализ рынка</w:t>
      </w:r>
    </w:p>
    <w:bookmarkStart w:id="21" w:name="рынок-цфа-в-рф"/>
    <w:p>
      <w:pPr>
        <w:pStyle w:val="Heading3"/>
      </w:pPr>
      <w:r>
        <w:t xml:space="preserve">4.1. Рынок ЦФА в РФ</w:t>
      </w:r>
    </w:p>
    <w:p>
      <w:pPr>
        <w:pStyle w:val="FirstParagraph"/>
      </w:pPr>
      <w:r>
        <w:t xml:space="preserve">В Российской Федерации с 2022 года действует Федеральный закон №259-ФЗ «О цифровых финансовых активах», который установил правовую рамку для эмиссии и обращения ЦФА. На рынке функционируют операторы информационных систем, прошедшие аккредитацию Банка России (информация публикуется в реестре ЦБ РФ).</w:t>
      </w:r>
    </w:p>
    <w:p>
      <w:pPr>
        <w:pStyle w:val="BodyText"/>
      </w:pPr>
      <w:r>
        <w:t xml:space="preserve">По открытым данным, суммарный объём выпусков ЦФА в РФ за 2023-2025 годы исчисляется сотнями миллиардов рублей и демонстрирует уверенный рост. Доминирующие классы — денежные требования, корпоративные ЦФА, ЦФА на металлы. ЦФА под залог недвижимого имущества с прямой эмиссией средств ЦБ РФ в текущей рыночной практике отсутствуют.</w:t>
      </w:r>
    </w:p>
    <w:bookmarkEnd w:id="21"/>
    <w:bookmarkStart w:id="22" w:name="объём-залоговой-массы-рф"/>
    <w:p>
      <w:pPr>
        <w:pStyle w:val="Heading3"/>
      </w:pPr>
      <w:r>
        <w:t xml:space="preserve">4.2. Объём залоговой массы РФ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Сегмент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Объём, трлн ₽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Жилой фонд (4,7 млрд м² × 85 000 ₽/м²)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Концепт автора, Росстат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Коммерческая недвижимость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Концепт автора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Земельные участки (ИЖС + под предприятиями)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Концепт автора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507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Консервативная база (10% × 50%)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Концепт автора</w:t>
            </w:r>
          </w:p>
        </w:tc>
      </w:tr>
    </w:tbl>
    <w:p>
      <w:pPr>
        <w:pStyle w:val="BodyText"/>
      </w:pPr>
      <w:r>
        <w:t xml:space="preserve">Консервативная база 25 трлн ₽ — это «целевая ёмкость», к которой платформа стремится за горизонт 10 лет.</w:t>
      </w:r>
    </w:p>
    <w:bookmarkEnd w:id="22"/>
    <w:bookmarkStart w:id="23" w:name="сегментация-спроса"/>
    <w:p>
      <w:pPr>
        <w:pStyle w:val="Heading3"/>
      </w:pPr>
      <w:r>
        <w:t xml:space="preserve">4.3. Сегментация спроса</w:t>
      </w:r>
    </w:p>
    <w:p>
      <w:pPr>
        <w:pStyle w:val="FirstParagraph"/>
      </w:pPr>
      <w:r>
        <w:rPr>
          <w:b/>
          <w:bCs/>
        </w:rPr>
        <w:t xml:space="preserve">Физические лица (B2C):</w:t>
      </w:r>
      <w:r>
        <w:t xml:space="preserve"> </w:t>
      </w:r>
      <w:r>
        <w:t xml:space="preserve">- Собственники жилой недвижимости со стабильным денежным потоком, ищущие способы монетизации актива без продажи.</w:t>
      </w:r>
      <w:r>
        <w:t xml:space="preserve"> </w:t>
      </w:r>
      <w:r>
        <w:t xml:space="preserve">- Целевая группа — около 30-40% домохозяйств в крупных и средних городах РФ.</w:t>
      </w:r>
    </w:p>
    <w:p>
      <w:pPr>
        <w:pStyle w:val="BodyText"/>
      </w:pPr>
      <w:r>
        <w:rPr>
          <w:b/>
          <w:bCs/>
        </w:rPr>
        <w:t xml:space="preserve">Юридические лица (B2B):</w:t>
      </w:r>
      <w:r>
        <w:t xml:space="preserve"> </w:t>
      </w:r>
      <w:r>
        <w:t xml:space="preserve">- Собственники коммерческой недвижимости — арендодатели, девелоперы, торговые сети.</w:t>
      </w:r>
      <w:r>
        <w:t xml:space="preserve"> </w:t>
      </w:r>
      <w:r>
        <w:t xml:space="preserve">- Промышленные предприятия с земельными активами.</w:t>
      </w:r>
      <w:r>
        <w:t xml:space="preserve"> </w:t>
      </w:r>
      <w:r>
        <w:t xml:space="preserve">- Холдинги с непрофильными активами.</w:t>
      </w:r>
    </w:p>
    <w:p>
      <w:pPr>
        <w:pStyle w:val="BodyText"/>
      </w:pPr>
      <w:r>
        <w:rPr>
          <w:b/>
          <w:bCs/>
        </w:rPr>
        <w:t xml:space="preserve">Государственные предприятия (B2G):</w:t>
      </w:r>
      <w:r>
        <w:t xml:space="preserve"> </w:t>
      </w:r>
      <w:r>
        <w:t xml:space="preserve">- Владельцы инфраструктурных и социально значимых активов (включая через дочерние структуры).</w:t>
      </w:r>
      <w:r>
        <w:t xml:space="preserve"> </w:t>
      </w:r>
      <w:r>
        <w:t xml:space="preserve">- Регионы и муниципалитеты — для финансирования региональных программ через залог муниципального имущества.</w:t>
      </w:r>
    </w:p>
    <w:bookmarkEnd w:id="23"/>
    <w:bookmarkStart w:id="24" w:name="конкуренты"/>
    <w:p>
      <w:pPr>
        <w:pStyle w:val="Heading3"/>
      </w:pPr>
      <w:r>
        <w:t xml:space="preserve">4.4. Конкуренты</w:t>
      </w:r>
    </w:p>
    <w:p>
      <w:pPr>
        <w:pStyle w:val="FirstParagraph"/>
      </w:pPr>
      <w:r>
        <w:t xml:space="preserve">Прямые конкуренты в категории «ЦФА под залог недвижимости с прямой эмиссией ЦБ» — отсутствуют. Косвенные:</w:t>
      </w:r>
      <w:r>
        <w:t xml:space="preserve"> </w:t>
      </w:r>
      <w:r>
        <w:t xml:space="preserve">- Текущие операторы ЦФА в РФ (предлагают другие классы активов).</w:t>
      </w:r>
      <w:r>
        <w:t xml:space="preserve"> </w:t>
      </w:r>
      <w:r>
        <w:t xml:space="preserve">- Банковское кредитование под залог недвижимости (медленнее, дороже, без целевой ориентации на нацпроекты).</w:t>
      </w:r>
      <w:r>
        <w:t xml:space="preserve"> </w:t>
      </w:r>
      <w:r>
        <w:t xml:space="preserve">- Краудфандинговые и инвестплатформы (мельче, без госконтура).</w:t>
      </w:r>
    </w:p>
    <w:p>
      <w:pPr>
        <w:pStyle w:val="BodyText"/>
      </w:pPr>
      <w:r>
        <w:t xml:space="preserve">Конкурентное преимущество ЦП РСФСР — не в скорости или цене, а в самой архитектуре: прямой эмиссионный контур ЦБ + целевая привязка к нацпроектам + сохранение имущества за собственником. Это не «лучший» продукт в существующей категории, а новая категория.</w:t>
      </w:r>
    </w:p>
    <w:bookmarkEnd w:id="24"/>
    <w:bookmarkStart w:id="25" w:name="регуляторная-среда"/>
    <w:p>
      <w:pPr>
        <w:pStyle w:val="Heading3"/>
      </w:pPr>
      <w:r>
        <w:t xml:space="preserve">4.5. Регуляторная среда</w:t>
      </w:r>
    </w:p>
    <w:p>
      <w:pPr>
        <w:pStyle w:val="FirstParagraph"/>
      </w:pPr>
      <w:r>
        <w:rPr>
          <w:b/>
          <w:bCs/>
        </w:rPr>
        <w:t xml:space="preserve">Текущая база:</w:t>
      </w:r>
      <w:r>
        <w:t xml:space="preserve"> </w:t>
      </w:r>
      <w:r>
        <w:t xml:space="preserve">- 86-ФЗ «О Центральном банке Российской Федерации (Банке России)»</w:t>
      </w:r>
      <w:r>
        <w:t xml:space="preserve"> </w:t>
      </w:r>
      <w:r>
        <w:t xml:space="preserve">- 259-ФЗ «О цифровых финансовых активах, цифровой валюте и о внесении изменений в отдельные законодательные акты Российской Федерации»</w:t>
      </w:r>
      <w:r>
        <w:t xml:space="preserve"> </w:t>
      </w:r>
      <w:r>
        <w:t xml:space="preserve">- 39-ФЗ «О рынке ценных бумаг»</w:t>
      </w:r>
      <w:r>
        <w:t xml:space="preserve"> </w:t>
      </w:r>
      <w:r>
        <w:t xml:space="preserve">- 102-ФЗ «Об ипотеке (залоге недвижимости)»</w:t>
      </w:r>
      <w:r>
        <w:t xml:space="preserve"> </w:t>
      </w:r>
      <w:r>
        <w:t xml:space="preserve">- 218-ФЗ «О государственной регистрации недвижимости»</w:t>
      </w:r>
      <w:r>
        <w:t xml:space="preserve"> </w:t>
      </w:r>
      <w:r>
        <w:t xml:space="preserve">- НК РФ (главы 21, 25, 34)</w:t>
      </w:r>
    </w:p>
    <w:p>
      <w:pPr>
        <w:pStyle w:val="BodyText"/>
      </w:pPr>
      <w:r>
        <w:rPr>
          <w:b/>
          <w:bCs/>
        </w:rPr>
        <w:t xml:space="preserve">Необходимые изменения:</w:t>
      </w:r>
      <w:r>
        <w:t xml:space="preserve"> </w:t>
      </w:r>
      <w:r>
        <w:t xml:space="preserve">- Поправки в 86-ФЗ, легализующие эмиссию средств ЦБ под выпуск ЦФА с целевым назначением.</w:t>
      </w:r>
      <w:r>
        <w:t xml:space="preserve"> </w:t>
      </w:r>
      <w:r>
        <w:t xml:space="preserve">- Поправки в 259-ФЗ, вводящие класс «ЦФА под залог имущества» с особым контуром обращения.</w:t>
      </w:r>
      <w:r>
        <w:t xml:space="preserve"> </w:t>
      </w:r>
      <w:r>
        <w:t xml:space="preserve">- Постановления Правительства о порядке использования средств с эскроу-счетов ЦБ через Федеральное казначейство.</w:t>
      </w:r>
      <w:r>
        <w:t xml:space="preserve"> </w:t>
      </w:r>
      <w:r>
        <w:t xml:space="preserve">- Инструкции ЦБ РФ о требованиях к оператору, оценке залога, нормативах дисконтирования.</w:t>
      </w:r>
    </w:p>
    <w:p>
      <w:pPr>
        <w:pStyle w:val="BodyText"/>
      </w:pPr>
      <w:r>
        <w:t xml:space="preserve">Этот блок описан в отдельном документе «Юридический фундамент» проекта.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маркетинг-и-продажи"/>
    <w:p>
      <w:pPr>
        <w:pStyle w:val="Heading2"/>
      </w:pPr>
      <w:r>
        <w:t xml:space="preserve">5. Маркетинг и продажи</w:t>
      </w:r>
    </w:p>
    <w:bookmarkStart w:id="27" w:name="каналы-привлечения"/>
    <w:p>
      <w:pPr>
        <w:pStyle w:val="Heading3"/>
      </w:pPr>
      <w:r>
        <w:t xml:space="preserve">5.1. Каналы привлечения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Канал</w:t>
            </w:r>
          </w:p>
        </w:tc>
        <w:tc>
          <w:tcPr/>
          <w:p>
            <w:pPr>
              <w:pStyle w:val="Compact"/>
            </w:pPr>
            <w:r>
              <w:t xml:space="preserve">Целевая аудитория</w:t>
            </w:r>
          </w:p>
        </w:tc>
        <w:tc>
          <w:tcPr/>
          <w:p>
            <w:pPr>
              <w:pStyle w:val="Compact"/>
            </w:pPr>
            <w:r>
              <w:t xml:space="preserve">Ожидаемая доля выпуска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Партнёрские банки (B2B2C)</w:t>
            </w:r>
          </w:p>
        </w:tc>
        <w:tc>
          <w:tcPr/>
          <w:p>
            <w:pPr>
              <w:pStyle w:val="Compact"/>
            </w:pPr>
            <w:r>
              <w:t xml:space="preserve">Физлица и МСП через банковские приложения</w:t>
            </w:r>
          </w:p>
        </w:tc>
        <w:tc>
          <w:tcPr/>
          <w:p>
            <w:pPr>
              <w:pStyle w:val="Compact"/>
            </w:pPr>
            <w:r>
              <w:t xml:space="preserve">40-50%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Прямой digital-канал</w:t>
            </w:r>
          </w:p>
        </w:tc>
        <w:tc>
          <w:tcPr/>
          <w:p>
            <w:pPr>
              <w:pStyle w:val="Compact"/>
            </w:pPr>
            <w:r>
              <w:t xml:space="preserve">Собственники крупных активов</w:t>
            </w:r>
          </w:p>
        </w:tc>
        <w:tc>
          <w:tcPr/>
          <w:p>
            <w:pPr>
              <w:pStyle w:val="Compact"/>
            </w:pPr>
            <w:r>
              <w:t xml:space="preserve">15-20%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Партнёрские страховые</w:t>
            </w:r>
          </w:p>
        </w:tc>
        <w:tc>
          <w:tcPr/>
          <w:p>
            <w:pPr>
              <w:pStyle w:val="Compact"/>
            </w:pPr>
            <w:r>
              <w:t xml:space="preserve">Через кросс-продажи страховых продуктов</w:t>
            </w:r>
          </w:p>
        </w:tc>
        <w:tc>
          <w:tcPr/>
          <w:p>
            <w:pPr>
              <w:pStyle w:val="Compact"/>
            </w:pPr>
            <w:r>
              <w:t xml:space="preserve">10-15%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Партнёрские оценщики</w:t>
            </w:r>
          </w:p>
        </w:tc>
        <w:tc>
          <w:tcPr/>
          <w:p>
            <w:pPr>
              <w:pStyle w:val="Compact"/>
            </w:pPr>
            <w:r>
              <w:t xml:space="preserve">Через профессиональное сообщество</w:t>
            </w:r>
          </w:p>
        </w:tc>
        <w:tc>
          <w:tcPr/>
          <w:p>
            <w:pPr>
              <w:pStyle w:val="Compact"/>
            </w:pPr>
            <w:r>
              <w:t xml:space="preserve">5-10%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Государственный B2G-канал</w:t>
            </w:r>
          </w:p>
        </w:tc>
        <w:tc>
          <w:tcPr/>
          <w:p>
            <w:pPr>
              <w:pStyle w:val="Compact"/>
            </w:pPr>
            <w:r>
              <w:t xml:space="preserve">Через региональные и муниципальные программы</w:t>
            </w:r>
          </w:p>
        </w:tc>
        <w:tc>
          <w:tcPr/>
          <w:p>
            <w:pPr>
              <w:pStyle w:val="Compact"/>
            </w:pPr>
            <w:r>
              <w:t xml:space="preserve">15-20%</w:t>
            </w:r>
          </w:p>
        </w:tc>
      </w:tr>
    </w:tbl>
    <w:bookmarkEnd w:id="27"/>
    <w:bookmarkStart w:id="28" w:name="юнит-экономика"/>
    <w:p>
      <w:pPr>
        <w:pStyle w:val="Heading3"/>
      </w:pPr>
      <w:r>
        <w:t xml:space="preserve">5.2. Юнит-экономика</w:t>
      </w:r>
    </w:p>
    <w:p>
      <w:pPr>
        <w:pStyle w:val="FirstParagraph"/>
      </w:pPr>
      <w:r>
        <w:rPr>
          <w:b/>
          <w:bCs/>
        </w:rPr>
        <w:t xml:space="preserve">Базовый расчёт по среднему выпуску.</w:t>
      </w:r>
      <w:r>
        <w:t xml:space="preserve"> </w:t>
      </w:r>
      <w:r>
        <w:t xml:space="preserve">Средний выпуск ЦФА (на одного клиента физлица) — 10 млн ₽ (исходя из средней стоимости жилой недвижимости в крупном городе и среднего LTV 50%).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Средний выпуск, 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10 000 000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Комиссия за выпуск (0,5%), 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Сервисная комиссия (0,3% × 5 лет), 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Платформенный сбор (0,15%), 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15 000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LTV (lifetime value), 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215 000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CAC (cost of acquisition), оценочный, 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20 000-40 000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LTV/CAC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5-10x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Payback CAC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4-9 мес.</w:t>
            </w:r>
          </w:p>
        </w:tc>
      </w:tr>
    </w:tbl>
    <w:p>
      <w:pPr>
        <w:pStyle w:val="BlockText"/>
      </w:pPr>
      <w:r>
        <w:t xml:space="preserve">Юнит-экономика положительна с первого выпуска. Высокий LTV/CAC обусловлен длительностью обслуживания (5 лет средний срок жизни ЦФА) и автоматизацией процессов оценки.</w:t>
      </w:r>
    </w:p>
    <w:bookmarkEnd w:id="28"/>
    <w:bookmarkStart w:id="29" w:name="партнёрская-модель"/>
    <w:p>
      <w:pPr>
        <w:pStyle w:val="Heading3"/>
      </w:pPr>
      <w:r>
        <w:t xml:space="preserve">5.3. Партнёрская модель</w:t>
      </w:r>
    </w:p>
    <w:p>
      <w:pPr>
        <w:pStyle w:val="FirstParagraph"/>
      </w:pPr>
      <w:r>
        <w:rPr>
          <w:b/>
          <w:bCs/>
        </w:rPr>
        <w:t xml:space="preserve">Банки.</w:t>
      </w:r>
      <w:r>
        <w:t xml:space="preserve"> </w:t>
      </w:r>
      <w:r>
        <w:t xml:space="preserve">ЦП РСФСР интегрируется в банковские приложения через API. Партнёрский банк выступает каналом привлечения и получает revenue share (например, 30-50% от комиссии за выпуск). Это обеспечивает банку новую линейку сервисов без дополнительных регуляторных требований.</w:t>
      </w:r>
    </w:p>
    <w:p>
      <w:pPr>
        <w:pStyle w:val="BodyText"/>
      </w:pPr>
      <w:r>
        <w:rPr>
          <w:b/>
          <w:bCs/>
        </w:rPr>
        <w:t xml:space="preserve">Страховые компании.</w:t>
      </w:r>
      <w:r>
        <w:t xml:space="preserve"> </w:t>
      </w:r>
      <w:r>
        <w:t xml:space="preserve">Обязательное страхование заложенного имущества — встроенный модуль платформы. Страховщик получает премию + кросс-продажи (КАСКО, ИФЛ). Платформа берёт agency fee.</w:t>
      </w:r>
    </w:p>
    <w:p>
      <w:pPr>
        <w:pStyle w:val="BodyText"/>
      </w:pPr>
      <w:r>
        <w:rPr>
          <w:b/>
          <w:bCs/>
        </w:rPr>
        <w:t xml:space="preserve">Оценочные компании.</w:t>
      </w:r>
      <w:r>
        <w:t xml:space="preserve"> </w:t>
      </w:r>
      <w:r>
        <w:t xml:space="preserve">Аккредитованные оценщики проводят первичную оценку залога; платформа автоматизирует 70-80% процесса (массовая оценка + камеральная экспертиза). Оценщик получает фиксированный фи.</w:t>
      </w:r>
    </w:p>
    <w:p>
      <w:pPr>
        <w:pStyle w:val="BodyText"/>
      </w:pPr>
      <w:r>
        <w:rPr>
          <w:b/>
          <w:bCs/>
        </w:rPr>
        <w:t xml:space="preserve">Технологические интеграторы.</w:t>
      </w:r>
      <w:r>
        <w:t xml:space="preserve"> </w:t>
      </w:r>
      <w:r>
        <w:t xml:space="preserve">Внедрение платформы в инфраструктуру партнёра — отдельный сервис, оплачиваемый по фикс-проектной модели.</w:t>
      </w:r>
    </w:p>
    <w:bookmarkEnd w:id="29"/>
    <w:bookmarkStart w:id="30" w:name="маркетинговый-план"/>
    <w:p>
      <w:pPr>
        <w:pStyle w:val="Heading3"/>
      </w:pPr>
      <w:r>
        <w:t xml:space="preserve">5.4. Маркетинговый план</w:t>
      </w:r>
    </w:p>
    <w:p>
      <w:pPr>
        <w:pStyle w:val="Compact"/>
        <w:numPr>
          <w:ilvl w:val="0"/>
          <w:numId w:val="1003"/>
        </w:numPr>
      </w:pPr>
      <w:r>
        <w:t xml:space="preserve">2025 (этап 0): закрытые презентации регуляторам, профильным комитетам Госдумы и Правительства РФ.</w:t>
      </w:r>
    </w:p>
    <w:p>
      <w:pPr>
        <w:pStyle w:val="Compact"/>
        <w:numPr>
          <w:ilvl w:val="0"/>
          <w:numId w:val="1003"/>
        </w:numPr>
      </w:pPr>
      <w:r>
        <w:t xml:space="preserve">2026 (этап 1): отраслевые мероприятия (ФинТех Форум, ПМЭФ, Финополис), запуск B2B-сайта, технических документов.</w:t>
      </w:r>
    </w:p>
    <w:p>
      <w:pPr>
        <w:pStyle w:val="Compact"/>
        <w:numPr>
          <w:ilvl w:val="0"/>
          <w:numId w:val="1003"/>
        </w:numPr>
      </w:pPr>
      <w:r>
        <w:t xml:space="preserve">2027-2028 (этап 2): подключение первых 5-10 банков-партнёров, запуск пилотных программ.</w:t>
      </w:r>
    </w:p>
    <w:p>
      <w:pPr>
        <w:pStyle w:val="Compact"/>
        <w:numPr>
          <w:ilvl w:val="0"/>
          <w:numId w:val="1003"/>
        </w:numPr>
      </w:pPr>
      <w:r>
        <w:t xml:space="preserve">2029-2030 (этап 3): массовая B2C-кампания через приложения банков, региональные программы B2G.</w:t>
      </w:r>
    </w:p>
    <w:p>
      <w:pPr>
        <w:pStyle w:val="Compact"/>
        <w:numPr>
          <w:ilvl w:val="0"/>
          <w:numId w:val="1003"/>
        </w:numPr>
      </w:pPr>
      <w:r>
        <w:t xml:space="preserve">2031+: международное позиционирование (БРИКС-формат), модель для тиражирования в дружественных юрисдикциях.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операционный-план"/>
    <w:p>
      <w:pPr>
        <w:pStyle w:val="Heading2"/>
      </w:pPr>
      <w:r>
        <w:t xml:space="preserve">6. Операционный план</w:t>
      </w:r>
    </w:p>
    <w:bookmarkStart w:id="32" w:name="расположение"/>
    <w:p>
      <w:pPr>
        <w:pStyle w:val="Heading3"/>
      </w:pPr>
      <w:r>
        <w:t xml:space="preserve">6.1. Расположение</w:t>
      </w:r>
    </w:p>
    <w:p>
      <w:pPr>
        <w:pStyle w:val="FirstParagraph"/>
      </w:pPr>
      <w:r>
        <w:rPr>
          <w:b/>
          <w:bCs/>
        </w:rPr>
        <w:t xml:space="preserve">Головной офис</w:t>
      </w:r>
      <w:r>
        <w:t xml:space="preserve"> </w:t>
      </w:r>
      <w:r>
        <w:t xml:space="preserve">— Москва (близость к ЦБ РФ, Минфину, Минэку, Госдуме). Оптимальный класс — A или A+, расположение в финансовом квартале (Москва-Сити, Замоскворечье, Тверская).</w:t>
      </w:r>
    </w:p>
    <w:p>
      <w:pPr>
        <w:pStyle w:val="BodyText"/>
      </w:pPr>
      <w:r>
        <w:rPr>
          <w:b/>
          <w:bCs/>
        </w:rPr>
        <w:t xml:space="preserve">ЦОД-площадки</w:t>
      </w:r>
      <w:r>
        <w:t xml:space="preserve"> </w:t>
      </w:r>
      <w:r>
        <w:t xml:space="preserve">— два независимых ЦОД на территории РФ уровня Tier-III или выше, с географической репликацией (рекомендуется Москва + один из региональных центров — Санкт-Петербург, Екатеринбург или Новосибирск). Подключение через сертифицированных операторов связи с резервированными каналами.</w:t>
      </w:r>
    </w:p>
    <w:bookmarkEnd w:id="32"/>
    <w:bookmarkStart w:id="33" w:name="технологические-партнёры"/>
    <w:p>
      <w:pPr>
        <w:pStyle w:val="Heading3"/>
      </w:pPr>
      <w:r>
        <w:t xml:space="preserve">6.2. Технологические партнёры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Тип партнёра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ЦОД и связь</w:t>
            </w:r>
          </w:p>
        </w:tc>
        <w:tc>
          <w:tcPr/>
          <w:p>
            <w:pPr>
              <w:pStyle w:val="Compact"/>
            </w:pPr>
            <w:r>
              <w:t xml:space="preserve">Сертифицированные операторы РФ (Tier-III+, с гос. лицензиями)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Криптографические модули</w:t>
            </w:r>
          </w:p>
        </w:tc>
        <w:tc>
          <w:tcPr/>
          <w:p>
            <w:pPr>
              <w:pStyle w:val="Compact"/>
            </w:pPr>
            <w:r>
              <w:t xml:space="preserve">Российские сертифицированные ФСБ криптопровайдеры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Системы оценки</w:t>
            </w:r>
          </w:p>
        </w:tc>
        <w:tc>
          <w:tcPr/>
          <w:p>
            <w:pPr>
              <w:pStyle w:val="Compact"/>
            </w:pPr>
            <w:r>
              <w:t xml:space="preserve">Аккредитованные оценщики РФ, в первую очередь — лидеры рынка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Страхование</w:t>
            </w:r>
          </w:p>
        </w:tc>
        <w:tc>
          <w:tcPr/>
          <w:p>
            <w:pPr>
              <w:pStyle w:val="Compact"/>
            </w:pPr>
            <w:r>
              <w:t xml:space="preserve">Топ-20 страховых компаний РФ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Госорганы</w:t>
            </w:r>
          </w:p>
        </w:tc>
        <w:tc>
          <w:tcPr/>
          <w:p>
            <w:pPr>
              <w:pStyle w:val="Compact"/>
            </w:pPr>
            <w:r>
              <w:t xml:space="preserve">Росреестр, ГИБДД, депозитарии, Федеральное казначейство (через защищённые каналы СМЭВ)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Аудит</w:t>
            </w:r>
          </w:p>
        </w:tc>
        <w:tc>
          <w:tcPr/>
          <w:p>
            <w:pPr>
              <w:pStyle w:val="Compact"/>
            </w:pPr>
            <w:r>
              <w:t xml:space="preserve">Независимые аудиторы из реестра ЦБ РФ</w:t>
            </w:r>
          </w:p>
        </w:tc>
      </w:tr>
    </w:tbl>
    <w:bookmarkEnd w:id="33"/>
    <w:bookmarkStart w:id="34" w:name="организационная-структура"/>
    <w:p>
      <w:pPr>
        <w:pStyle w:val="Heading3"/>
      </w:pPr>
      <w:r>
        <w:t xml:space="preserve">6.3. Организационная структура</w:t>
      </w:r>
    </w:p>
    <w:p>
      <w:pPr>
        <w:pStyle w:val="FirstParagraph"/>
      </w:pPr>
      <w:r>
        <w:rPr>
          <w:b/>
          <w:bCs/>
        </w:rPr>
        <w:t xml:space="preserve">Уровни управления:</w:t>
      </w:r>
      <w:r>
        <w:t xml:space="preserve"> </w:t>
      </w:r>
      <w:r>
        <w:t xml:space="preserve">- Совет директоров (5-9 чел., включая независимых директоров).</w:t>
      </w:r>
      <w:r>
        <w:t xml:space="preserve"> </w:t>
      </w:r>
      <w:r>
        <w:t xml:space="preserve">- Правление (CEO + 5-7 функциональных руководителей).</w:t>
      </w:r>
      <w:r>
        <w:t xml:space="preserve"> </w:t>
      </w:r>
      <w:r>
        <w:t xml:space="preserve">- Функциональные направления:</w:t>
      </w:r>
      <w:r>
        <w:t xml:space="preserve"> </w:t>
      </w:r>
      <w:r>
        <w:t xml:space="preserve">- Разработка и инфраструктура (CTO).</w:t>
      </w:r>
      <w:r>
        <w:t xml:space="preserve"> </w:t>
      </w:r>
      <w:r>
        <w:t xml:space="preserve">- Операции и клиентский сервис (COO).</w:t>
      </w:r>
      <w:r>
        <w:t xml:space="preserve"> </w:t>
      </w:r>
      <w:r>
        <w:t xml:space="preserve">- Финансы (CFO).</w:t>
      </w:r>
      <w:r>
        <w:t xml:space="preserve"> </w:t>
      </w:r>
      <w:r>
        <w:t xml:space="preserve">- Юридический и комплаенс (CCO).</w:t>
      </w:r>
      <w:r>
        <w:t xml:space="preserve"> </w:t>
      </w:r>
      <w:r>
        <w:t xml:space="preserve">- Управление рисками (CRO).</w:t>
      </w:r>
      <w:r>
        <w:t xml:space="preserve"> </w:t>
      </w:r>
      <w:r>
        <w:t xml:space="preserve">- BD и партнёрства (CBO/CRO).</w:t>
      </w:r>
      <w:r>
        <w:t xml:space="preserve"> </w:t>
      </w:r>
      <w:r>
        <w:t xml:space="preserve">- Маркетинг и PR (CMO).</w:t>
      </w:r>
      <w:r>
        <w:t xml:space="preserve"> </w:t>
      </w:r>
      <w:r>
        <w:t xml:space="preserve">- HR и культура (CHRO).</w:t>
      </w:r>
    </w:p>
    <w:bookmarkEnd w:id="34"/>
    <w:bookmarkStart w:id="35" w:name="штатное-расписание-fte-по-годам"/>
    <w:p>
      <w:pPr>
        <w:pStyle w:val="Heading3"/>
      </w:pPr>
      <w:r>
        <w:t xml:space="preserve">6.4. Штатное расписание (FTE по годам)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2"/>
        <w:gridCol w:w="736"/>
        <w:gridCol w:w="736"/>
        <w:gridCol w:w="736"/>
        <w:gridCol w:w="736"/>
        <w:gridCol w:w="736"/>
        <w:gridCol w:w="736"/>
        <w:gridCol w:w="736"/>
        <w:gridCol w:w="736"/>
        <w:gridCol w:w="73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</w:tr>
    </w:tbl>
    <w:p>
      <w:pPr>
        <w:pStyle w:val="BodyText"/>
      </w:pPr>
      <w:r>
        <w:t xml:space="preserve">Структура к концу года 2 (120 FTE):</w:t>
      </w:r>
      <w:r>
        <w:t xml:space="preserve"> </w:t>
      </w:r>
      <w:r>
        <w:t xml:space="preserve">- Разработка и инфраструктура — 50 чел. (42%)</w:t>
      </w:r>
      <w:r>
        <w:t xml:space="preserve"> </w:t>
      </w:r>
      <w:r>
        <w:t xml:space="preserve">- Операции и клиентский сервис — 20 чел. (17%)</w:t>
      </w:r>
      <w:r>
        <w:t xml:space="preserve"> </w:t>
      </w:r>
      <w:r>
        <w:t xml:space="preserve">- Юридический и комплаенс — 15 чел. (12,5%)</w:t>
      </w:r>
      <w:r>
        <w:t xml:space="preserve"> </w:t>
      </w:r>
      <w:r>
        <w:t xml:space="preserve">- Управление рисками — 10 чел. (8%)</w:t>
      </w:r>
      <w:r>
        <w:t xml:space="preserve"> </w:t>
      </w:r>
      <w:r>
        <w:t xml:space="preserve">- BD и партнёрства — 10 чел. (8%)</w:t>
      </w:r>
      <w:r>
        <w:t xml:space="preserve"> </w:t>
      </w:r>
      <w:r>
        <w:t xml:space="preserve">- Финансы — 8 чел. (7%)</w:t>
      </w:r>
      <w:r>
        <w:t xml:space="preserve"> </w:t>
      </w:r>
      <w:r>
        <w:t xml:space="preserve">- Маркетинг и PR — 4 чел. (3%)</w:t>
      </w:r>
      <w:r>
        <w:t xml:space="preserve"> </w:t>
      </w:r>
      <w:r>
        <w:t xml:space="preserve">- HR и культура — 3 чел. (2,5%)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технологический-план"/>
    <w:p>
      <w:pPr>
        <w:pStyle w:val="Heading2"/>
      </w:pPr>
      <w:r>
        <w:t xml:space="preserve">7. Технологический план</w:t>
      </w:r>
    </w:p>
    <w:p>
      <w:pPr>
        <w:pStyle w:val="FirstParagraph"/>
      </w:pPr>
      <w:r>
        <w:t xml:space="preserve">Технологический контур ЦП РСФСР описан в отдельном документе «Техническая документация со ссылками на ФЗ и инструкции ЦБ РФ» (папка</w:t>
      </w:r>
      <w:r>
        <w:t xml:space="preserve"> </w:t>
      </w:r>
      <w:r>
        <w:rPr>
          <w:rStyle w:val="VerbatimChar"/>
        </w:rPr>
        <w:t xml:space="preserve">01_Техническая_документация</w:t>
      </w:r>
      <w:r>
        <w:t xml:space="preserve">).</w:t>
      </w:r>
    </w:p>
    <w:p>
      <w:pPr>
        <w:pStyle w:val="BodyText"/>
      </w:pPr>
      <w:r>
        <w:t xml:space="preserve">Ключевые архитектурные принципы:</w:t>
      </w:r>
      <w:r>
        <w:t xml:space="preserve"> </w:t>
      </w:r>
      <w:r>
        <w:t xml:space="preserve">1. Микросервисная архитектура на стеке российских технологий (Astra Linux, СУБД из реестра ПО, российские криптомодули).</w:t>
      </w:r>
      <w:r>
        <w:t xml:space="preserve"> </w:t>
      </w:r>
      <w:r>
        <w:t xml:space="preserve">2. Гео-репликация между двумя ЦОД с RPO ≤ 5 мин, RTO ≤ 30 мин.</w:t>
      </w:r>
      <w:r>
        <w:t xml:space="preserve"> </w:t>
      </w:r>
      <w:r>
        <w:t xml:space="preserve">3. Многоуровневая модель безопасности (соответствие 152-ФЗ, требованиям ФСТЭК, ГОСТ).</w:t>
      </w:r>
      <w:r>
        <w:t xml:space="preserve"> </w:t>
      </w:r>
      <w:r>
        <w:t xml:space="preserve">4. Интеграционная шина для подключения банков, страховых, оценщиков, госорганов.</w:t>
      </w:r>
      <w:r>
        <w:t xml:space="preserve"> </w:t>
      </w:r>
      <w:r>
        <w:t xml:space="preserve">5. Цифровая идентификация — Госуслуги, СБП (для физлиц); ЭП и ЭДО — для юрлиц.</w:t>
      </w:r>
      <w:r>
        <w:t xml:space="preserve"> </w:t>
      </w:r>
      <w:r>
        <w:t xml:space="preserve">6. Распределённый реестр для регистрации ЦФА (на сертифицированной российской платформе).</w:t>
      </w:r>
      <w:r>
        <w:t xml:space="preserve"> </w:t>
      </w:r>
      <w:r>
        <w:t xml:space="preserve">7. Полное соответствие требованиям ЦБ РФ к операторам ЦФА (положения, инструкции, нормативы).</w:t>
      </w:r>
    </w:p>
    <w:bookmarkStart w:id="37" w:name="X754eb0681b8750142ecf40341504329f5baa62d"/>
    <w:p>
      <w:pPr>
        <w:pStyle w:val="Heading3"/>
      </w:pPr>
      <w:r>
        <w:t xml:space="preserve">Готовность клиентской части (по состоянию на 2025 г.)</w:t>
      </w:r>
    </w:p>
    <w:p>
      <w:pPr>
        <w:pStyle w:val="FirstParagraph"/>
      </w:pPr>
      <w:r>
        <w:t xml:space="preserve">К моменту начала переговоров с Банком России и инвесторами клиентская часть платформы</w:t>
      </w:r>
      <w:r>
        <w:t xml:space="preserve"> </w:t>
      </w:r>
      <w:r>
        <w:rPr>
          <w:b/>
          <w:bCs/>
        </w:rPr>
        <w:t xml:space="preserve">полностью разработана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Мобильное приложение в формате Progressive Web App</w:t>
      </w:r>
      <w:r>
        <w:t xml:space="preserve"> </w:t>
      </w:r>
      <w:r>
        <w:t xml:space="preserve">— 23 экрана, полный жизненный цикл из 19 шагов автора (от регистрации до мены ЦФА), 4 темы оформления, 4 языка (русский, английский, французский, арабский с RTL), Service Worker для оффлайн-режима, manifest.json для установки на устройство.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Конструкторская документация по ГОСТ 19</w:t>
      </w:r>
      <w:r>
        <w:t xml:space="preserve"> </w:t>
      </w:r>
      <w:r>
        <w:t xml:space="preserve">— 12 документов от ТЗ (19.201) до ведомости эксплуатационных документов (19.507), готовы к подаче в реестр Минцифры (ПП РФ №1236) и для сертификации ФСТЭК / ФСБ.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Платформенные сборки через Capacitor 6</w:t>
      </w:r>
      <w:r>
        <w:t xml:space="preserve"> </w:t>
      </w:r>
      <w:r>
        <w:t xml:space="preserve">— конфигурация и инструкции для упаковки в нативные приложения Android (AAB для RuStore и Google Play), iOS (App Store), Windows (MSIX для Microsoft Store).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Публикационный пакет RuStore</w:t>
      </w:r>
      <w:r>
        <w:t xml:space="preserve"> </w:t>
      </w:r>
      <w:r>
        <w:t xml:space="preserve">— описание для каталога, политика конфиденциальности (по 152-ФЗ), условия использования, промо-материалы, чек-лист публикации.</w:t>
      </w:r>
    </w:p>
    <w:p>
      <w:pPr>
        <w:pStyle w:val="FirstParagraph"/>
      </w:pPr>
      <w:r>
        <w:t xml:space="preserve">Готовность клиентской части сокращает срок выхода на пилотный контур ориентировочно на 3 месяца и снижает технологический риск разработки. Это учтено в обновлённой международной оценке проекта (Reasoned Value pre-money — $80 млн в базовой зоне).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дорожная-карта"/>
    <w:p>
      <w:pPr>
        <w:pStyle w:val="Heading2"/>
      </w:pPr>
      <w:r>
        <w:t xml:space="preserve">8. Дорожная карта</w:t>
      </w:r>
    </w:p>
    <w:bookmarkStart w:id="39" w:name="подготовка"/>
    <w:p>
      <w:pPr>
        <w:pStyle w:val="Heading3"/>
      </w:pPr>
      <w:r>
        <w:t xml:space="preserve">2025-2026 — Подготовка</w:t>
      </w:r>
    </w:p>
    <w:p>
      <w:pPr>
        <w:pStyle w:val="Compact"/>
        <w:numPr>
          <w:ilvl w:val="0"/>
          <w:numId w:val="1005"/>
        </w:numPr>
      </w:pPr>
      <w:r>
        <w:t xml:space="preserve">Регистрация юридического лица.</w:t>
      </w:r>
    </w:p>
    <w:p>
      <w:pPr>
        <w:pStyle w:val="Compact"/>
        <w:numPr>
          <w:ilvl w:val="0"/>
          <w:numId w:val="1005"/>
        </w:numPr>
      </w:pPr>
      <w:r>
        <w:t xml:space="preserve">Привлечение стартового финансирования (1,3 млрд ₽).</w:t>
      </w:r>
    </w:p>
    <w:p>
      <w:pPr>
        <w:pStyle w:val="Compact"/>
        <w:numPr>
          <w:ilvl w:val="0"/>
          <w:numId w:val="1005"/>
        </w:numPr>
      </w:pPr>
      <w:r>
        <w:t xml:space="preserve">Формирование команды (40→120 FTE).</w:t>
      </w:r>
    </w:p>
    <w:p>
      <w:pPr>
        <w:pStyle w:val="Compact"/>
        <w:numPr>
          <w:ilvl w:val="0"/>
          <w:numId w:val="1005"/>
        </w:numPr>
      </w:pPr>
      <w:r>
        <w:t xml:space="preserve">Разработка платформы (этап 1): ядро, модули оценки, регистрации обременения, выпуска ЦФА.</w:t>
      </w:r>
    </w:p>
    <w:p>
      <w:pPr>
        <w:pStyle w:val="Compact"/>
        <w:numPr>
          <w:ilvl w:val="0"/>
          <w:numId w:val="1005"/>
        </w:numPr>
      </w:pPr>
      <w:r>
        <w:t xml:space="preserve">Юридическое сопровождение поправок в 86-ФЗ и 259-ФЗ.</w:t>
      </w:r>
    </w:p>
    <w:p>
      <w:pPr>
        <w:pStyle w:val="Compact"/>
        <w:numPr>
          <w:ilvl w:val="0"/>
          <w:numId w:val="1005"/>
        </w:numPr>
      </w:pPr>
      <w:r>
        <w:t xml:space="preserve">Получение профильной лицензии ЦБ РФ.</w:t>
      </w:r>
    </w:p>
    <w:p>
      <w:pPr>
        <w:pStyle w:val="Compact"/>
        <w:numPr>
          <w:ilvl w:val="0"/>
          <w:numId w:val="1005"/>
        </w:numPr>
      </w:pPr>
      <w:r>
        <w:t xml:space="preserve">Аккредитация в реестре операторов информационных систем ЦБ РФ.</w:t>
      </w:r>
    </w:p>
    <w:bookmarkEnd w:id="39"/>
    <w:bookmarkStart w:id="40" w:name="пилот"/>
    <w:p>
      <w:pPr>
        <w:pStyle w:val="Heading3"/>
      </w:pPr>
      <w:r>
        <w:t xml:space="preserve">2026-2027 — Пилот</w:t>
      </w:r>
    </w:p>
    <w:p>
      <w:pPr>
        <w:pStyle w:val="Compact"/>
        <w:numPr>
          <w:ilvl w:val="0"/>
          <w:numId w:val="1006"/>
        </w:numPr>
      </w:pPr>
      <w:r>
        <w:t xml:space="preserve">Запуск пилотных программ с 2-3 банками-партнёрами.</w:t>
      </w:r>
    </w:p>
    <w:p>
      <w:pPr>
        <w:pStyle w:val="Compact"/>
        <w:numPr>
          <w:ilvl w:val="0"/>
          <w:numId w:val="1006"/>
        </w:numPr>
      </w:pPr>
      <w:r>
        <w:t xml:space="preserve">Первые выпуски ЦФА (объём ~130 млрд ₽ в 2026, ~540 млрд ₽ в 2027).</w:t>
      </w:r>
    </w:p>
    <w:p>
      <w:pPr>
        <w:pStyle w:val="Compact"/>
        <w:numPr>
          <w:ilvl w:val="0"/>
          <w:numId w:val="1006"/>
        </w:numPr>
      </w:pPr>
      <w:r>
        <w:t xml:space="preserve">Отработка операционных процессов на ограниченной выборке.</w:t>
      </w:r>
    </w:p>
    <w:p>
      <w:pPr>
        <w:pStyle w:val="Compact"/>
        <w:numPr>
          <w:ilvl w:val="0"/>
          <w:numId w:val="1006"/>
        </w:numPr>
      </w:pPr>
      <w:r>
        <w:t xml:space="preserve">Интеграция с Росреестром, депозитариями, Федеральным казначейством.</w:t>
      </w:r>
    </w:p>
    <w:p>
      <w:pPr>
        <w:pStyle w:val="Compact"/>
        <w:numPr>
          <w:ilvl w:val="0"/>
          <w:numId w:val="1006"/>
        </w:numPr>
      </w:pPr>
      <w:r>
        <w:t xml:space="preserve">Подключение первых страховых партнёров и оценочных компаний.</w:t>
      </w:r>
    </w:p>
    <w:bookmarkEnd w:id="40"/>
    <w:bookmarkStart w:id="41" w:name="тиражирование"/>
    <w:p>
      <w:pPr>
        <w:pStyle w:val="Heading3"/>
      </w:pPr>
      <w:r>
        <w:t xml:space="preserve">2027+ — Тиражирование</w:t>
      </w:r>
    </w:p>
    <w:p>
      <w:pPr>
        <w:pStyle w:val="Compact"/>
        <w:numPr>
          <w:ilvl w:val="0"/>
          <w:numId w:val="1007"/>
        </w:numPr>
      </w:pPr>
      <w:r>
        <w:t xml:space="preserve">Расширение партнёрской сети (банки, регионы, отрасли).</w:t>
      </w:r>
    </w:p>
    <w:p>
      <w:pPr>
        <w:pStyle w:val="Compact"/>
        <w:numPr>
          <w:ilvl w:val="0"/>
          <w:numId w:val="1007"/>
        </w:numPr>
      </w:pPr>
      <w:r>
        <w:t xml:space="preserve">Масштабирование выпусков (ежегодный объём от 1,4 трлн ₽ в 2028 до 7,1 трлн ₽ в 2034).</w:t>
      </w:r>
    </w:p>
    <w:p>
      <w:pPr>
        <w:pStyle w:val="Compact"/>
        <w:numPr>
          <w:ilvl w:val="0"/>
          <w:numId w:val="1007"/>
        </w:numPr>
      </w:pPr>
      <w:r>
        <w:t xml:space="preserve">Подключение государственных программ финансирования через эскроу-контур ЦБ РФ.</w:t>
      </w:r>
    </w:p>
    <w:p>
      <w:pPr>
        <w:pStyle w:val="Compact"/>
        <w:numPr>
          <w:ilvl w:val="0"/>
          <w:numId w:val="1007"/>
        </w:numPr>
      </w:pPr>
      <w:r>
        <w:t xml:space="preserve">Запуск B2C-каналов через банковские приложения.</w:t>
      </w:r>
    </w:p>
    <w:p>
      <w:pPr>
        <w:pStyle w:val="Compact"/>
        <w:numPr>
          <w:ilvl w:val="0"/>
          <w:numId w:val="1007"/>
        </w:numPr>
      </w:pPr>
      <w:r>
        <w:t xml:space="preserve">Подготовка к экспорту модели в дружественные юрисдикции (БРИКС-формат).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финансовый-план"/>
    <w:p>
      <w:pPr>
        <w:pStyle w:val="Heading2"/>
      </w:pPr>
      <w:r>
        <w:t xml:space="preserve">9. Финансовый план</w:t>
      </w:r>
    </w:p>
    <w:p>
      <w:pPr>
        <w:pStyle w:val="FirstParagraph"/>
      </w:pPr>
      <w:r>
        <w:t xml:space="preserve">Полный расчёт — в документе</w:t>
      </w:r>
      <w:r>
        <w:t xml:space="preserve"> </w:t>
      </w:r>
      <w:r>
        <w:rPr>
          <w:rStyle w:val="VerbatimChar"/>
        </w:rPr>
        <w:t xml:space="preserve">Финансовая_модель_ЦП_РСФСР.md</w:t>
      </w:r>
      <w:r>
        <w:t xml:space="preserve"> </w:t>
      </w:r>
      <w:r>
        <w:t xml:space="preserve">и сопроводительной записке</w:t>
      </w:r>
      <w:r>
        <w:t xml:space="preserve"> </w:t>
      </w:r>
      <w:r>
        <w:rPr>
          <w:rStyle w:val="VerbatimChar"/>
        </w:rPr>
        <w:t xml:space="preserve">Финмодель_допущения_и_расчёты.md</w:t>
      </w:r>
      <w:r>
        <w:t xml:space="preserve">.</w:t>
      </w:r>
    </w:p>
    <w:bookmarkStart w:id="43" w:name="краткий-резюме-базового-сценария"/>
    <w:p>
      <w:pPr>
        <w:pStyle w:val="Heading3"/>
      </w:pPr>
      <w:r>
        <w:t xml:space="preserve">9.1. Краткий резюме базового сценария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NPV @ WACC 22% (с TV, g=4%)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170,1 млрд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IRR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~228%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Payback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 года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Пиковая потребность в финансировании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 млрд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Выручка 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37,5 млрд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Выручка 2034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137,9 млрд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EBITDA 2034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133,6 млрд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Маржа EBITDA 2034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96,9%</w:t>
            </w:r>
          </w:p>
        </w:tc>
      </w:tr>
    </w:tbl>
    <w:bookmarkEnd w:id="43"/>
    <w:bookmarkStart w:id="44" w:name="сценарии"/>
    <w:p>
      <w:pPr>
        <w:pStyle w:val="Heading3"/>
      </w:pPr>
      <w:r>
        <w:t xml:space="preserve">9.2. Сценарии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NPV, млрд 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Payback, лет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Консервативный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Базовый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Оптимистичный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</w:t>
            </w:r>
          </w:p>
        </w:tc>
      </w:tr>
    </w:tbl>
    <w:bookmarkEnd w:id="44"/>
    <w:bookmarkStart w:id="45" w:name="X425e98a0dce9cea89a163ed5da9284d99452f41"/>
    <w:p>
      <w:pPr>
        <w:pStyle w:val="Heading3"/>
      </w:pPr>
      <w:r>
        <w:t xml:space="preserve">9.3. Потребность в финансировании и использование средств</w:t>
      </w:r>
    </w:p>
    <w:p>
      <w:pPr>
        <w:pStyle w:val="FirstParagraph"/>
      </w:pPr>
      <w:r>
        <w:t xml:space="preserve">Стартовая потребность — 1,3 млрд ₽ на 18 месяцев: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млн 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CapEx (платформа, ЦОДы, лицензии)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OpEx первого года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Подушка ликвидности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1 300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</w:tr>
    </w:tbl>
    <w:p>
      <w:pPr>
        <w:pStyle w:val="BodyText"/>
      </w:pPr>
      <w:r>
        <w:t xml:space="preserve">Структура источников:</w:t>
      </w:r>
      <w:r>
        <w:t xml:space="preserve"> </w:t>
      </w:r>
      <w:r>
        <w:t xml:space="preserve">- Равити от стратегического инвестора и/или госкорпорации развития — 70-100%.</w:t>
      </w:r>
      <w:r>
        <w:t xml:space="preserve"> </w:t>
      </w:r>
      <w:r>
        <w:t xml:space="preserve">- Долговое финансирование — 0-30% (после подтверждения регуляторного статуса).</w:t>
      </w:r>
    </w:p>
    <w:bookmarkEnd w:id="45"/>
    <w:bookmarkStart w:id="46" w:name="exit-стратегия-для-инвесторов"/>
    <w:p>
      <w:pPr>
        <w:pStyle w:val="Heading3"/>
      </w:pPr>
      <w:r>
        <w:t xml:space="preserve">9.4. Exit-стратегия для инвесторов</w:t>
      </w:r>
    </w:p>
    <w:p>
      <w:pPr>
        <w:pStyle w:val="FirstParagraph"/>
      </w:pPr>
      <w:r>
        <w:t xml:space="preserve">Варианты на горизонте 5-10 лет: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IPO</w:t>
      </w:r>
      <w:r>
        <w:t xml:space="preserve"> </w:t>
      </w:r>
      <w:r>
        <w:t xml:space="preserve">— листинг на Московской бирже после выхода на устойчивую прибыль (потенциально с 2030-2031 года).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Стратегическая продажа</w:t>
      </w:r>
      <w:r>
        <w:t xml:space="preserve"> </w:t>
      </w:r>
      <w:r>
        <w:t xml:space="preserve">— приобретение пакета крупной финансовой группой или госкорпорацией.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Buy-back</w:t>
      </w:r>
      <w:r>
        <w:t xml:space="preserve"> </w:t>
      </w:r>
      <w:r>
        <w:t xml:space="preserve">— выкуп доли инвестора компанией из дивидендного потока.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Дивидендная стратегия</w:t>
      </w:r>
      <w:r>
        <w:t xml:space="preserve"> </w:t>
      </w:r>
      <w:r>
        <w:t xml:space="preserve">— выплата 30-50% чистой прибыли с 2028 года, бессрочное удержание акций (для стратегических инвесторов).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анализ-рисков"/>
    <w:p>
      <w:pPr>
        <w:pStyle w:val="Heading2"/>
      </w:pPr>
      <w:r>
        <w:t xml:space="preserve">10. Анализ рисков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Probability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Правовой</w:t>
            </w:r>
          </w:p>
        </w:tc>
        <w:tc>
          <w:tcPr/>
          <w:p>
            <w:pPr>
              <w:pStyle w:val="Compact"/>
            </w:pPr>
            <w:r>
              <w:t xml:space="preserve">Поправки в 86-ФЗ и 259-ФЗ не приняты или приняты в редакции, не позволяющей запуск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</w:pPr>
            <w:r>
              <w:t xml:space="preserve">Критический (блокирующий)</w:t>
            </w:r>
          </w:p>
        </w:tc>
        <w:tc>
          <w:tcPr/>
          <w:p>
            <w:pPr>
              <w:pStyle w:val="Compact"/>
            </w:pPr>
            <w:r>
              <w:t xml:space="preserve">Раннее юридическое сопровождение, работа с профильными комитетами Госдумы и Правительства, наличие альтернативной правовой модели (без эмиссии ЦБ, но с привлечением внебюджетных средств через инфраструктурных инвесторов)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Регуляторный</w:t>
            </w:r>
          </w:p>
        </w:tc>
        <w:tc>
          <w:tcPr/>
          <w:p>
            <w:pPr>
              <w:pStyle w:val="Compact"/>
            </w:pPr>
            <w:r>
              <w:t xml:space="preserve">Отказ ЦБ РФ в выдаче лицензии оператора</w:t>
            </w:r>
          </w:p>
        </w:tc>
        <w:tc>
          <w:tcPr/>
          <w:p>
            <w:pPr>
              <w:pStyle w:val="Compact"/>
            </w:pPr>
            <w:r>
              <w:t xml:space="preserve">Низкая-средняя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  <w:tc>
          <w:tcPr/>
          <w:p>
            <w:pPr>
              <w:pStyle w:val="Compact"/>
            </w:pPr>
            <w:r>
              <w:t xml:space="preserve">Подготовка к лицензированию с привлечением юридических консультантов с опытом работы с ЦБ, выполнение всех требований к капиталу, корпоративному управлению, ИТ-безопасности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Рыночный</w:t>
            </w:r>
          </w:p>
        </w:tc>
        <w:tc>
          <w:tcPr/>
          <w:p>
            <w:pPr>
              <w:pStyle w:val="Compact"/>
            </w:pPr>
            <w:r>
              <w:t xml:space="preserve">Низкое проникновение — собственники не доверяют новому инструменту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</w:pPr>
            <w:r>
              <w:t xml:space="preserve">Существенный</w:t>
            </w:r>
          </w:p>
        </w:tc>
        <w:tc>
          <w:tcPr/>
          <w:p>
            <w:pPr>
              <w:pStyle w:val="Compact"/>
            </w:pPr>
            <w:r>
              <w:t xml:space="preserve">Старт с госпрограмм и крупных собственников (B2B/B2G) для формирования референсных кейсов; широкая образовательная кампания; интеграция в банковские приложения для снижения порога входа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Технологический</w:t>
            </w:r>
          </w:p>
        </w:tc>
        <w:tc>
          <w:tcPr/>
          <w:p>
            <w:pPr>
              <w:pStyle w:val="Compact"/>
            </w:pPr>
            <w:r>
              <w:t xml:space="preserve">Сбой платформы, потеря данных, кибератака</w:t>
            </w:r>
          </w:p>
        </w:tc>
        <w:tc>
          <w:tcPr/>
          <w:p>
            <w:pPr>
              <w:pStyle w:val="Compact"/>
            </w:pPr>
            <w:r>
              <w:t xml:space="preserve">Низкая</w:t>
            </w:r>
          </w:p>
        </w:tc>
        <w:tc>
          <w:tcPr/>
          <w:p>
            <w:pPr>
              <w:pStyle w:val="Compact"/>
            </w:pPr>
            <w:r>
              <w:t xml:space="preserve">Существенный</w:t>
            </w:r>
          </w:p>
        </w:tc>
        <w:tc>
          <w:tcPr/>
          <w:p>
            <w:pPr>
              <w:pStyle w:val="Compact"/>
            </w:pPr>
            <w:r>
              <w:t xml:space="preserve">Two-active ЦОД с гео-репликацией; ежедневный бэкап с тестированием восстановления; сертифицированные ФСБ криптомодули; постоянный пентест; SOC 24/7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Операционный</w:t>
            </w:r>
          </w:p>
        </w:tc>
        <w:tc>
          <w:tcPr/>
          <w:p>
            <w:pPr>
              <w:pStyle w:val="Compact"/>
            </w:pPr>
            <w:r>
              <w:t xml:space="preserve">Ошибки оценки залога, споры с собственниками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</w:pPr>
            <w:r>
              <w:t xml:space="preserve">Умеренный</w:t>
            </w:r>
          </w:p>
        </w:tc>
        <w:tc>
          <w:tcPr/>
          <w:p>
            <w:pPr>
              <w:pStyle w:val="Compact"/>
            </w:pPr>
            <w:r>
              <w:t xml:space="preserve">Многоуровневая оценка (массовая + камеральная + независимый оценщик), страхование ответственности, прозрачные регламенты, досудебный арбитраж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Репутационный</w:t>
            </w:r>
          </w:p>
        </w:tc>
        <w:tc>
          <w:tcPr/>
          <w:p>
            <w:pPr>
              <w:pStyle w:val="Compact"/>
            </w:pPr>
            <w:r>
              <w:t xml:space="preserve">Громкий инцидент (потеря средств клиента, корруп. скандал)</w:t>
            </w:r>
          </w:p>
        </w:tc>
        <w:tc>
          <w:tcPr/>
          <w:p>
            <w:pPr>
              <w:pStyle w:val="Compact"/>
            </w:pPr>
            <w:r>
              <w:t xml:space="preserve">Низкая</w:t>
            </w:r>
          </w:p>
        </w:tc>
        <w:tc>
          <w:tcPr/>
          <w:p>
            <w:pPr>
              <w:pStyle w:val="Compact"/>
            </w:pPr>
            <w:r>
              <w:t xml:space="preserve">Критический</w:t>
            </w:r>
          </w:p>
        </w:tc>
        <w:tc>
          <w:tcPr/>
          <w:p>
            <w:pPr>
              <w:pStyle w:val="Compact"/>
            </w:pPr>
            <w:r>
              <w:t xml:space="preserve">Жёсткие комплаенс-процедуры, антикоррупционная политика, прозрачная отчётность, регулярный внешний аудит, PR-стратегия кризисных коммуникаций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Макроэкономический</w:t>
            </w:r>
          </w:p>
        </w:tc>
        <w:tc>
          <w:tcPr/>
          <w:p>
            <w:pPr>
              <w:pStyle w:val="Compact"/>
            </w:pPr>
            <w:r>
              <w:t xml:space="preserve">Резкий рост ключевой ставки, обвал рынка недвижимости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</w:pPr>
            <w:r>
              <w:t xml:space="preserve">Существенный</w:t>
            </w:r>
          </w:p>
        </w:tc>
        <w:tc>
          <w:tcPr/>
          <w:p>
            <w:pPr>
              <w:pStyle w:val="Compact"/>
            </w:pPr>
            <w:r>
              <w:t xml:space="preserve">Гибкая модель тарификации (привязка к КС), консервативные LTV-нормативы (50% базовый, до 70% максимум), стресс-тесты квартально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Конкурентный</w:t>
            </w:r>
          </w:p>
        </w:tc>
        <w:tc>
          <w:tcPr/>
          <w:p>
            <w:pPr>
              <w:pStyle w:val="Compact"/>
            </w:pPr>
            <w:r>
              <w:t xml:space="preserve">Появление второго оператора в той же категории</w:t>
            </w:r>
          </w:p>
        </w:tc>
        <w:tc>
          <w:tcPr/>
          <w:p>
            <w:pPr>
              <w:pStyle w:val="Compact"/>
            </w:pPr>
            <w:r>
              <w:t xml:space="preserve">Низкая (до 5 лет), Средняя (после)</w:t>
            </w:r>
          </w:p>
        </w:tc>
        <w:tc>
          <w:tcPr/>
          <w:p>
            <w:pPr>
              <w:pStyle w:val="Compact"/>
            </w:pPr>
            <w:r>
              <w:t xml:space="preserve">Умеренный</w:t>
            </w:r>
          </w:p>
        </w:tc>
        <w:tc>
          <w:tcPr/>
          <w:p>
            <w:pPr>
              <w:pStyle w:val="Compact"/>
            </w:pPr>
            <w:r>
              <w:t xml:space="preserve">Глубокая интеграция с регулятором и партнёрами как естественный moat; быстрое масштабирование в первые 3-5 лет; защита ноу-хау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Кадровый</w:t>
            </w:r>
          </w:p>
        </w:tc>
        <w:tc>
          <w:tcPr/>
          <w:p>
            <w:pPr>
              <w:pStyle w:val="Compact"/>
            </w:pPr>
            <w:r>
              <w:t xml:space="preserve">Дефицит квалифицированных специалистов в финтехе</w:t>
            </w:r>
          </w:p>
        </w:tc>
        <w:tc>
          <w:tcPr/>
          <w:p>
            <w:pPr>
              <w:pStyle w:val="Compact"/>
            </w:pPr>
            <w:r>
              <w:t xml:space="preserve">Средняя</w:t>
            </w:r>
          </w:p>
        </w:tc>
        <w:tc>
          <w:tcPr/>
          <w:p>
            <w:pPr>
              <w:pStyle w:val="Compact"/>
            </w:pPr>
            <w:r>
              <w:t xml:space="preserve">Умеренный</w:t>
            </w:r>
          </w:p>
        </w:tc>
        <w:tc>
          <w:tcPr/>
          <w:p>
            <w:pPr>
              <w:pStyle w:val="Compact"/>
            </w:pPr>
            <w:r>
              <w:t xml:space="preserve">Опционная программа, конкурентная компенсация, корпоративная R&amp;D-программа с ведущими вузами, удалённая работа с регионами</w:t>
            </w:r>
          </w:p>
        </w:tc>
      </w:tr>
    </w:tbl>
    <w:p>
      <w:pPr>
        <w:pStyle w:val="BodyText"/>
      </w:pPr>
      <w:r>
        <w:t xml:space="preserve">Карта рисков пересматривается ежеквартально. Главный регуляторный риск — принятие поправок — детально разобран в документе «Юридический фундамент».</w:t>
      </w:r>
    </w:p>
    <w:p>
      <w:r>
        <w:pict>
          <v:rect style="width:0;height:1.5pt" o:hralign="center" o:hrstd="t" o:hr="t"/>
        </w:pict>
      </w:r>
    </w:p>
    <w:bookmarkEnd w:id="48"/>
    <w:bookmarkStart w:id="51" w:name="команда"/>
    <w:p>
      <w:pPr>
        <w:pStyle w:val="Heading2"/>
      </w:pPr>
      <w:r>
        <w:t xml:space="preserve">11. Команда</w:t>
      </w:r>
    </w:p>
    <w:bookmarkStart w:id="49" w:name="автор-концепта-и-инициатор-проекта"/>
    <w:p>
      <w:pPr>
        <w:pStyle w:val="Heading3"/>
      </w:pPr>
      <w:r>
        <w:t xml:space="preserve">11.1. Автор концепта и инициатор проекта</w:t>
      </w:r>
    </w:p>
    <w:p>
      <w:pPr>
        <w:pStyle w:val="FirstParagraph"/>
      </w:pPr>
      <w:r>
        <w:rPr>
          <w:b/>
          <w:bCs/>
        </w:rPr>
        <w:t xml:space="preserve">Кагиров Абдул-Хаким Ахмадович</w:t>
      </w:r>
      <w:r>
        <w:t xml:space="preserve"> </w:t>
      </w:r>
      <w:r>
        <w:t xml:space="preserve">— автор и правообладатель ноу-хау ЦП РСФСР (свидетельство о депонировании №4011265 от 19.12.2024). Концепция платформы, описанная в настоящем документе, разработана им и защищена в установленном порядке.</w:t>
      </w:r>
    </w:p>
    <w:bookmarkEnd w:id="49"/>
    <w:bookmarkStart w:id="50" w:name="формирование-исполнительной-команды"/>
    <w:p>
      <w:pPr>
        <w:pStyle w:val="Heading3"/>
      </w:pPr>
      <w:r>
        <w:t xml:space="preserve">11.2. Формирование исполнительной команды</w:t>
      </w:r>
    </w:p>
    <w:p>
      <w:pPr>
        <w:pStyle w:val="FirstParagraph"/>
      </w:pPr>
      <w:r>
        <w:t xml:space="preserve">На этапе старта (2025) формируется ядро команды:</w:t>
      </w:r>
      <w:r>
        <w:t xml:space="preserve"> </w:t>
      </w:r>
      <w:r>
        <w:t xml:space="preserve">- CEO — управляющий партнёр с опытом запуска инфраструктурных финтех-проектов.</w:t>
      </w:r>
      <w:r>
        <w:t xml:space="preserve"> </w:t>
      </w:r>
      <w:r>
        <w:t xml:space="preserve">- CTO — технический директор с опытом построения банковских платформ.</w:t>
      </w:r>
      <w:r>
        <w:t xml:space="preserve"> </w:t>
      </w:r>
      <w:r>
        <w:t xml:space="preserve">- CCO — комплаенс-офицер с опытом работы в надзорных подразделениях ЦБ РФ.</w:t>
      </w:r>
      <w:r>
        <w:t xml:space="preserve"> </w:t>
      </w:r>
      <w:r>
        <w:t xml:space="preserve">- CFO — финансовый директор уровня крупной финкорпорации.</w:t>
      </w:r>
      <w:r>
        <w:t xml:space="preserve"> </w:t>
      </w:r>
      <w:r>
        <w:t xml:space="preserve">- Совет директоров — 5-9 чел., с обязательным присутствием независимых директоров и представителей ключевых акционеров.</w:t>
      </w:r>
    </w:p>
    <w:p>
      <w:pPr>
        <w:pStyle w:val="BodyText"/>
      </w:pPr>
      <w:r>
        <w:t xml:space="preserve">Конкретные фамилии не приводятся: подбор команды — задача стартового этапа, формируется параллельно с привлечением стратегического инвестора. Все назначения проходят согласование с регулятором (ЦБ РФ предъявляет требования к деловой репутации и квалификации руководителей операторов).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8" w:name="социально-экономический-эффект"/>
    <w:p>
      <w:pPr>
        <w:pStyle w:val="Heading2"/>
      </w:pPr>
      <w:r>
        <w:t xml:space="preserve">12. Социально-экономический эффект</w:t>
      </w:r>
    </w:p>
    <w:bookmarkStart w:id="52" w:name="влияние-на-ввп"/>
    <w:p>
      <w:pPr>
        <w:pStyle w:val="Heading3"/>
      </w:pPr>
      <w:r>
        <w:t xml:space="preserve">12.1. Влияние на ВВП</w:t>
      </w:r>
    </w:p>
    <w:p>
      <w:pPr>
        <w:pStyle w:val="FirstParagraph"/>
      </w:pPr>
      <w:r>
        <w:t xml:space="preserve">Объём финансирования, привлечённого через ЦП РСФСР, в базовом сценарии:</w:t>
      </w:r>
      <w:r>
        <w:t xml:space="preserve"> </w:t>
      </w:r>
      <w:r>
        <w:t xml:space="preserve">- 2026: 130 млрд ₽ выпуска → ~130 млрд ₽ эмиссии ЦБ на эскроу → реинвестируется в нацпроекты.</w:t>
      </w:r>
      <w:r>
        <w:t xml:space="preserve"> </w:t>
      </w:r>
      <w:r>
        <w:t xml:space="preserve">- 2029: 2,9 трлн ₽ годового выпуска.</w:t>
      </w:r>
      <w:r>
        <w:t xml:space="preserve"> </w:t>
      </w:r>
      <w:r>
        <w:t xml:space="preserve">- 2034: 7,1 трлн ₽ годового выпуска.</w:t>
      </w:r>
    </w:p>
    <w:p>
      <w:pPr>
        <w:pStyle w:val="BodyText"/>
      </w:pPr>
      <w:r>
        <w:t xml:space="preserve">При мультипликаторе инфраструктурных инвестиций 1,8-2,3 (стандартный диапазон для российской экономики; Минэк РФ применяет 1,9-2,1 для оценки эффектов нацпроектов) ожидаемый вклад в ВВП от инвестиций ЦП РСФСР:</w:t>
      </w:r>
      <w:r>
        <w:t xml:space="preserve"> </w:t>
      </w:r>
      <w:r>
        <w:t xml:space="preserve">- 2029: 5,2-6,7 трлн ₽ дополнительной экономической активности.</w:t>
      </w:r>
      <w:r>
        <w:t xml:space="preserve"> </w:t>
      </w:r>
      <w:r>
        <w:t xml:space="preserve">- 2034: 12,8-16,4 трлн ₽ дополнительной экономической активности.</w:t>
      </w:r>
    </w:p>
    <w:p>
      <w:pPr>
        <w:pStyle w:val="BodyText"/>
      </w:pPr>
      <w:r>
        <w:t xml:space="preserve">Это сопоставимо с долей 5-8% от номинального ВВП РФ (для 2034 года).</w:t>
      </w:r>
    </w:p>
    <w:bookmarkEnd w:id="52"/>
    <w:bookmarkStart w:id="53" w:name="влияние-на-нацпроекты"/>
    <w:p>
      <w:pPr>
        <w:pStyle w:val="Heading3"/>
      </w:pPr>
      <w:r>
        <w:t xml:space="preserve">12.2. Влияние на нацпроекты</w:t>
      </w:r>
    </w:p>
    <w:p>
      <w:pPr>
        <w:pStyle w:val="FirstParagraph"/>
      </w:pPr>
      <w:r>
        <w:t xml:space="preserve">ЦП РСФСР обеспечивает целевое финансирование национальных проектов без увеличения бюджетной нагрузки. Сокращение очерёдности финансирования за счёт мобилизации частной залоговой массы — ключевой эффект, прямо указанный в 6-м преимуществе концепта автора.</w:t>
      </w:r>
    </w:p>
    <w:p>
      <w:pPr>
        <w:pStyle w:val="BodyText"/>
      </w:pPr>
      <w:r>
        <w:t xml:space="preserve">Потенциальные целевые направления (определяются профильными ФЗ и постановлениями Правительства):</w:t>
      </w:r>
      <w:r>
        <w:t xml:space="preserve"> </w:t>
      </w:r>
      <w:r>
        <w:t xml:space="preserve">- Тяжёлая промышленность и машиностроение.</w:t>
      </w:r>
      <w:r>
        <w:t xml:space="preserve"> </w:t>
      </w:r>
      <w:r>
        <w:t xml:space="preserve">- Импортозамещение в критических отраслях.</w:t>
      </w:r>
      <w:r>
        <w:t xml:space="preserve"> </w:t>
      </w:r>
      <w:r>
        <w:t xml:space="preserve">- Здравоохранение (модернизация инфраструктуры, оборудование).</w:t>
      </w:r>
      <w:r>
        <w:t xml:space="preserve"> </w:t>
      </w:r>
      <w:r>
        <w:t xml:space="preserve">- Наука и образование.</w:t>
      </w:r>
      <w:r>
        <w:t xml:space="preserve"> </w:t>
      </w:r>
      <w:r>
        <w:t xml:space="preserve">- Транспортная инфраструктура (мосты, дороги, логистические хабы).</w:t>
      </w:r>
      <w:r>
        <w:t xml:space="preserve"> </w:t>
      </w:r>
      <w:r>
        <w:t xml:space="preserve">- Энергетика и ЖКХ.</w:t>
      </w:r>
    </w:p>
    <w:bookmarkEnd w:id="53"/>
    <w:bookmarkStart w:id="54" w:name="влияние-на-спящие-активы"/>
    <w:p>
      <w:pPr>
        <w:pStyle w:val="Heading3"/>
      </w:pPr>
      <w:r>
        <w:t xml:space="preserve">12.3. Влияние на «спящие» активы</w:t>
      </w:r>
    </w:p>
    <w:p>
      <w:pPr>
        <w:pStyle w:val="FirstParagraph"/>
      </w:pPr>
      <w:r>
        <w:t xml:space="preserve">По 4-му преимуществу концепта — привлечение «спящих» частных активов в экономический оборот.</w:t>
      </w:r>
    </w:p>
    <w:p>
      <w:pPr>
        <w:pStyle w:val="BodyText"/>
      </w:pPr>
      <w:r>
        <w:t xml:space="preserve">Сейчас порядка 80% жилой и значительная доля коммерческой недвижимости в РФ не используется как залоговый инструмент по объективным причинам (бюрократия оформления, длительность процедур, отсутствие подходящего продукта). ЦП РСФСР снимает эти барьеры за счёт автоматизации и нового продуктового контура. К году 10 — до 20% от консервативной залоговой ёмкости в обращении (5 трлн ₽), что соответствует мобилизации активов порядка 10-20 млн домохозяйств и предприятий РФ.</w:t>
      </w:r>
    </w:p>
    <w:bookmarkEnd w:id="54"/>
    <w:bookmarkStart w:id="55" w:name="дополнительный-доход-собственников"/>
    <w:p>
      <w:pPr>
        <w:pStyle w:val="Heading3"/>
      </w:pPr>
      <w:r>
        <w:t xml:space="preserve">12.4. Дополнительный доход собственников</w:t>
      </w:r>
    </w:p>
    <w:p>
      <w:pPr>
        <w:pStyle w:val="FirstParagraph"/>
      </w:pPr>
      <w:r>
        <w:t xml:space="preserve">По 9-му пункту концепта — финансовое вознаграждение собственнику залогового имущества.</w:t>
      </w:r>
    </w:p>
    <w:p>
      <w:pPr>
        <w:pStyle w:val="BodyText"/>
      </w:pPr>
      <w:r>
        <w:t xml:space="preserve">При модели вознаграждения собственника, например, 1-2% годовых от номинала ЦФА (точная ставка определяется регуляторными нормативами и условиями договора с оператором), совокупная выплата собственникам к году 10:</w:t>
      </w:r>
      <w:r>
        <w:t xml:space="preserve"> </w:t>
      </w:r>
      <w:r>
        <w:t xml:space="preserve">- Объём стека ЦФА: 26,6 трлн ₽.</w:t>
      </w:r>
      <w:r>
        <w:t xml:space="preserve"> </w:t>
      </w:r>
      <w:r>
        <w:t xml:space="preserve">- При ставке 1% — 266 млрд ₽ дополнительных доходов собственников ежегодно.</w:t>
      </w:r>
      <w:r>
        <w:t xml:space="preserve"> </w:t>
      </w:r>
      <w:r>
        <w:t xml:space="preserve">- При ставке 2% — 532 млрд ₽ ежегодно.</w:t>
      </w:r>
    </w:p>
    <w:p>
      <w:pPr>
        <w:pStyle w:val="BodyText"/>
      </w:pPr>
      <w:r>
        <w:t xml:space="preserve">Это сопоставимо с бюджетом нескольких регионов РФ и обеспечивает значимый «вторичный» вклад в потребительский спрос и налоговую базу.</w:t>
      </w:r>
    </w:p>
    <w:bookmarkEnd w:id="55"/>
    <w:bookmarkStart w:id="56" w:name="влияние-на-финансовую-систему"/>
    <w:p>
      <w:pPr>
        <w:pStyle w:val="Heading3"/>
      </w:pPr>
      <w:r>
        <w:t xml:space="preserve">12.5. Влияние на финансовую систему</w:t>
      </w:r>
    </w:p>
    <w:p>
      <w:pPr>
        <w:pStyle w:val="Compact"/>
        <w:numPr>
          <w:ilvl w:val="0"/>
          <w:numId w:val="1008"/>
        </w:numPr>
      </w:pPr>
      <w:r>
        <w:t xml:space="preserve">Расширение базы инструментов рынка ценных бумаг (новый класс надёжных активов).</w:t>
      </w:r>
    </w:p>
    <w:p>
      <w:pPr>
        <w:pStyle w:val="Compact"/>
        <w:numPr>
          <w:ilvl w:val="0"/>
          <w:numId w:val="1008"/>
        </w:numPr>
      </w:pPr>
      <w:r>
        <w:t xml:space="preserve">Возможности диверсификации портфелей пенсионных и страховых резервов.</w:t>
      </w:r>
    </w:p>
    <w:p>
      <w:pPr>
        <w:pStyle w:val="Compact"/>
        <w:numPr>
          <w:ilvl w:val="0"/>
          <w:numId w:val="1008"/>
        </w:numPr>
      </w:pPr>
      <w:r>
        <w:t xml:space="preserve">Развитие смежных сервисов (оценка, страхование, юр. сопровождение) — дополнительные рабочие места в финансовом секторе.</w:t>
      </w:r>
    </w:p>
    <w:p>
      <w:pPr>
        <w:pStyle w:val="Compact"/>
        <w:numPr>
          <w:ilvl w:val="0"/>
          <w:numId w:val="1008"/>
        </w:numPr>
      </w:pPr>
      <w:r>
        <w:t xml:space="preserve">Импульс к развитию российского финтеха и регуляторных технологий.</w:t>
      </w:r>
    </w:p>
    <w:bookmarkEnd w:id="56"/>
    <w:bookmarkStart w:id="57" w:name="инфляционный-режим"/>
    <w:p>
      <w:pPr>
        <w:pStyle w:val="Heading3"/>
      </w:pPr>
      <w:r>
        <w:t xml:space="preserve">12.6. Инфляционный режим</w:t>
      </w:r>
    </w:p>
    <w:p>
      <w:pPr>
        <w:pStyle w:val="FirstParagraph"/>
      </w:pPr>
      <w:r>
        <w:t xml:space="preserve">По 10-му пункту концепта — эмиссия идёт под полностью обеспеченные активы. Это принципиально отличается от «вертолётной» эмиссии: каждый выпущенный рубль обеспечен реальным имуществом, оценённым с дисконтом. Инфляционный эффект — нейтральный или дезинфляционный (рост предложения товаров и услуг через нацпроекты компенсирует увеличение денежной массы).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приложения"/>
    <w:p>
      <w:pPr>
        <w:pStyle w:val="Heading2"/>
      </w:pPr>
      <w:r>
        <w:t xml:space="preserve">13. Приложения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Размещение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Финансовая модель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03_Финансовая_модель/Финансовая_модель_ЦП_РСФСР.md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Пояснения к финмодели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03_Финансовая_модель/Финмодель_допущения_и_расчёты.md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Концепт автора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_Мастер/Концепт.md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Юридический фундамент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02_Юридический_фундамент/</w:t>
            </w:r>
            <w:r>
              <w:t xml:space="preserve"> </w:t>
            </w:r>
            <w:r>
              <w:t xml:space="preserve">(отдельный документ)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Техническое решение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01_Техническая_документация/</w:t>
            </w:r>
            <w:r>
              <w:t xml:space="preserve"> </w:t>
            </w:r>
            <w:r>
              <w:t xml:space="preserve">(отдельный документ)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Свидетельство о депонировании</w:t>
            </w:r>
          </w:p>
        </w:tc>
        <w:tc>
          <w:tcPr/>
          <w:p>
            <w:pPr>
              <w:pStyle w:val="Compact"/>
            </w:pPr>
            <w:r>
              <w:t xml:space="preserve">№4011265 от 19.12.2024 (хранится у автора)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Дата:</w:t>
      </w:r>
      <w:r>
        <w:t xml:space="preserve"> </w:t>
      </w:r>
      <w:r>
        <w:t xml:space="preserve">23.05.2026.</w:t>
      </w:r>
      <w:r>
        <w:t xml:space="preserve"> </w:t>
      </w:r>
      <w:r>
        <w:rPr>
          <w:b/>
          <w:bCs/>
        </w:rPr>
        <w:t xml:space="preserve">Источники:</w:t>
      </w:r>
      <w:r>
        <w:t xml:space="preserve"> </w:t>
      </w:r>
      <w:r>
        <w:t xml:space="preserve">концепция автора (Кагиров А.-Х.А., свид. №4011265 от 19.12.2024); 86-ФЗ, 259-ФЗ, НК РФ, основные направления ДКП Банка России; данные Росстата. Сторонние материалы не использовались.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2026-05-23T23:21:28Z</dcterms:created>
  <dcterms:modified xsi:type="dcterms:W3CDTF">2026-05-23T23:21:28Z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