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бренд-бук"/>
    <w:p>
      <w:pPr>
        <w:pStyle w:val="Heading1"/>
      </w:pPr>
      <w:r>
        <w:t xml:space="preserve">Бренд-бук</w:t>
      </w:r>
    </w:p>
    <w:bookmarkStart w:id="9" w:name="Xbdf827ef6d5e928ad469d2e8a904d97f05be371"/>
    <w:p>
      <w:pPr>
        <w:pStyle w:val="Heading2"/>
      </w:pPr>
      <w:r>
        <w:t xml:space="preserve">Цифровая Платформа «Российский Сервис Финансирования Социального Развития» (ЦП РСФСР)</w:t>
      </w:r>
    </w:p>
    <w:p>
      <w:pPr>
        <w:pStyle w:val="FirstParagraph"/>
      </w:pPr>
      <w:r>
        <w:rPr>
          <w:b/>
          <w:bCs/>
        </w:rPr>
        <w:t xml:space="preserve">Правообладатель ноу-хау:</w:t>
      </w:r>
      <w:r>
        <w:t xml:space="preserve"> </w:t>
      </w:r>
      <w:r>
        <w:t xml:space="preserve">Кагиров Абдул-Хаким Ахмадович. Свидетельство о депонировании №4011265 от 19.12.2024 (ireg.pro), хеш ГОСТ-Р 34.11-2012.</w:t>
      </w:r>
      <w:r>
        <w:t xml:space="preserve"> </w:t>
      </w:r>
      <w:r>
        <w:rPr>
          <w:b/>
          <w:bCs/>
        </w:rPr>
        <w:t xml:space="preserve">Назначение документа:</w:t>
      </w:r>
      <w:r>
        <w:t xml:space="preserve"> </w:t>
      </w:r>
      <w:r>
        <w:t xml:space="preserve">единая система визуальной идентификации платформы. Применяется ко всем носителям: документы, презентации, веб-сайт, мобильное приложение, рекламные материалы, корпоративный мерч.</w:t>
      </w:r>
    </w:p>
    <w:p>
      <w:r>
        <w:pict>
          <v:rect style="width:0;height:1.5pt" o:hralign="center" o:hrstd="t" o:hr="t"/>
        </w:pict>
      </w:r>
    </w:p>
    <w:bookmarkEnd w:id="9"/>
    <w:bookmarkStart w:id="10" w:name="платформа-бренда"/>
    <w:p>
      <w:pPr>
        <w:pStyle w:val="Heading2"/>
      </w:pPr>
      <w:r>
        <w:t xml:space="preserve">1. Платформа бренда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Миссия</w:t>
            </w:r>
          </w:p>
        </w:tc>
        <w:tc>
          <w:tcPr/>
          <w:p>
            <w:pPr>
              <w:pStyle w:val="Compact"/>
            </w:pPr>
            <w:r>
              <w:t xml:space="preserve">Обеспечить внебюджетное финансирование национальных и инфраструктурных проектов через цифровые финансовые активы под управлением Банка России.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Видение</w:t>
            </w:r>
          </w:p>
        </w:tc>
        <w:tc>
          <w:tcPr/>
          <w:p>
            <w:pPr>
              <w:pStyle w:val="Compact"/>
            </w:pPr>
            <w:r>
              <w:t xml:space="preserve">Стать суверенным операторским уровнем целевой обеспеченной эмиссии Российской Федерации.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Сущность бренда</w:t>
            </w:r>
          </w:p>
        </w:tc>
        <w:tc>
          <w:tcPr/>
          <w:p>
            <w:pPr>
              <w:pStyle w:val="Compact"/>
            </w:pPr>
            <w:r>
              <w:t xml:space="preserve">Государственный технологический оператор доверия.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Архетип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Sovereign / Государственник</w:t>
            </w:r>
            <w:r>
              <w:t xml:space="preserve"> </w:t>
            </w:r>
            <w:r>
              <w:t xml:space="preserve">(основной). Вторичный —</w:t>
            </w:r>
            <w:r>
              <w:t xml:space="preserve"> </w:t>
            </w:r>
            <w:r>
              <w:rPr>
                <w:b/>
                <w:bCs/>
              </w:rPr>
              <w:t xml:space="preserve">Caregiver</w:t>
            </w:r>
            <w:r>
              <w:t xml:space="preserve"> </w:t>
            </w:r>
            <w:r>
              <w:t xml:space="preserve">(социальная ответственность).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Эмоциональный регистр</w:t>
            </w:r>
          </w:p>
        </w:tc>
        <w:tc>
          <w:tcPr/>
          <w:p>
            <w:pPr>
              <w:pStyle w:val="Compact"/>
            </w:pPr>
            <w:r>
              <w:t xml:space="preserve">Спокойная уверенность, институциональность, технологическая зрелость. Без помпы, без советской ностальгии, без популизма.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one-of-voice-правила-речи"/>
    <w:p>
      <w:pPr>
        <w:pStyle w:val="Heading2"/>
      </w:pPr>
      <w:r>
        <w:t xml:space="preserve">2. Tone of Voice (правила речи)</w:t>
      </w:r>
    </w:p>
    <w:p>
      <w:pPr>
        <w:pStyle w:val="FirstParagraph"/>
      </w:pPr>
      <w:r>
        <w:rPr>
          <w:b/>
          <w:bCs/>
        </w:rPr>
        <w:t xml:space="preserve">Делай:</w:t>
      </w:r>
      <w:r>
        <w:t xml:space="preserve"> </w:t>
      </w:r>
      <w:r>
        <w:t xml:space="preserve">1. Говори фактами и нормативными ссылками.</w:t>
      </w:r>
      <w:r>
        <w:t xml:space="preserve"> </w:t>
      </w:r>
      <w:r>
        <w:t xml:space="preserve">2. Используй полные формы — «Российская Федерация», «Центральный банк Российской Федерации», «Федеральное казначейство».</w:t>
      </w:r>
      <w:r>
        <w:t xml:space="preserve"> </w:t>
      </w:r>
      <w:r>
        <w:t xml:space="preserve">3. Сохраняй институциональный темп — длина предложения средняя, без штампов.</w:t>
      </w:r>
      <w:r>
        <w:t xml:space="preserve"> </w:t>
      </w:r>
      <w:r>
        <w:t xml:space="preserve">4. Применяй нейтральные глаголы: обеспечивает, реализует, регулирует, координирует.</w:t>
      </w:r>
      <w:r>
        <w:t xml:space="preserve"> </w:t>
      </w:r>
      <w:r>
        <w:t xml:space="preserve">5. Каждый числовой показатель — со ссылкой на источник.</w:t>
      </w:r>
    </w:p>
    <w:p>
      <w:pPr>
        <w:pStyle w:val="BodyText"/>
      </w:pPr>
      <w:r>
        <w:rPr>
          <w:b/>
          <w:bCs/>
        </w:rPr>
        <w:t xml:space="preserve">Не делай:</w:t>
      </w:r>
      <w:r>
        <w:t xml:space="preserve"> </w:t>
      </w:r>
      <w:r>
        <w:t xml:space="preserve">1. Не используй маркетинговые превосходные степени («самый передовой», «революционный»).</w:t>
      </w:r>
      <w:r>
        <w:t xml:space="preserve"> </w:t>
      </w:r>
      <w:r>
        <w:t xml:space="preserve">2. Не используй эмодзи в основном тексте документов.</w:t>
      </w:r>
      <w:r>
        <w:t xml:space="preserve"> </w:t>
      </w:r>
      <w:r>
        <w:t xml:space="preserve">3. Не пиши слов «версия / v1 / draft / черновик / final».</w:t>
      </w:r>
      <w:r>
        <w:t xml:space="preserve"> </w:t>
      </w:r>
      <w:r>
        <w:t xml:space="preserve">4. Не используй ностальгические или политизированные коннотации.</w:t>
      </w:r>
      <w:r>
        <w:t xml:space="preserve"> </w:t>
      </w:r>
      <w:r>
        <w:t xml:space="preserve">5. Не персонализируй обращения к ЦБ, Минфину или Правительству — только официальный регистр.</w:t>
      </w:r>
    </w:p>
    <w:p>
      <w:r>
        <w:pict>
          <v:rect style="width:0;height:1.5pt" o:hralign="center" o:hrstd="t" o:hr="t"/>
        </w:pict>
      </w:r>
    </w:p>
    <w:bookmarkEnd w:id="11"/>
    <w:bookmarkStart w:id="16" w:name="логотип"/>
    <w:p>
      <w:pPr>
        <w:pStyle w:val="Heading2"/>
      </w:pPr>
      <w:r>
        <w:t xml:space="preserve">3. Логотип</w:t>
      </w:r>
    </w:p>
    <w:bookmarkStart w:id="12" w:name="концепция"/>
    <w:p>
      <w:pPr>
        <w:pStyle w:val="Heading3"/>
      </w:pPr>
      <w:r>
        <w:t xml:space="preserve">3.1. Концепция</w:t>
      </w:r>
    </w:p>
    <w:p>
      <w:pPr>
        <w:pStyle w:val="FirstParagraph"/>
      </w:pPr>
      <w:r>
        <w:t xml:space="preserve">Монограмма «Р» (от РСФСР), вписанная в строгий геометрический знак — комбинацию</w:t>
      </w:r>
      <w:r>
        <w:t xml:space="preserve"> </w:t>
      </w:r>
      <w:r>
        <w:rPr>
          <w:b/>
          <w:bCs/>
        </w:rPr>
        <w:t xml:space="preserve">щита-печати</w:t>
      </w:r>
      <w:r>
        <w:t xml:space="preserve"> </w:t>
      </w:r>
      <w:r>
        <w:t xml:space="preserve">(государственная серьёзность) и</w:t>
      </w:r>
      <w:r>
        <w:t xml:space="preserve"> </w:t>
      </w:r>
      <w:r>
        <w:rPr>
          <w:b/>
          <w:bCs/>
        </w:rPr>
        <w:t xml:space="preserve">цифровой точки-пикселя</w:t>
      </w:r>
      <w:r>
        <w:t xml:space="preserve"> </w:t>
      </w:r>
      <w:r>
        <w:t xml:space="preserve">(технологическая природа). Знак работает на трёх семантических уровнях: суверенность → институт → цифра.</w:t>
      </w:r>
    </w:p>
    <w:p>
      <w:pPr>
        <w:pStyle w:val="BodyText"/>
      </w:pPr>
      <w:r>
        <w:t xml:space="preserve">В фирменном пакете присутствуют две концепции (для согласования):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Concept A</w:t>
      </w:r>
      <w:r>
        <w:t xml:space="preserve"> </w:t>
      </w:r>
      <w:r>
        <w:t xml:space="preserve">— квадратная печать с угловой цифровой точкой.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Concept B</w:t>
      </w:r>
      <w:r>
        <w:t xml:space="preserve"> </w:t>
      </w:r>
      <w:r>
        <w:t xml:space="preserve">— круглая печать с пунктирным контуром и цифровой строкой реестра.</w:t>
      </w:r>
    </w:p>
    <w:p>
      <w:pPr>
        <w:pStyle w:val="BodyText"/>
      </w:pPr>
      <w:r>
        <w:t xml:space="preserve">Все варианты — в одном SVG-файле</w:t>
      </w:r>
      <w:r>
        <w:t xml:space="preserve"> </w:t>
      </w:r>
      <w:r>
        <w:rPr>
          <w:rStyle w:val="VerbatimChar"/>
        </w:rPr>
        <w:t xml:space="preserve">Логотип-концепция.svg</w:t>
      </w:r>
      <w:r>
        <w:t xml:space="preserve">.</w:t>
      </w:r>
    </w:p>
    <w:bookmarkEnd w:id="12"/>
    <w:bookmarkStart w:id="13" w:name="защитное-поле-и-минимальный-размер"/>
    <w:p>
      <w:pPr>
        <w:pStyle w:val="Heading3"/>
      </w:pPr>
      <w:r>
        <w:t xml:space="preserve">3.2. Защитное поле и минимальный размер</w:t>
      </w:r>
    </w:p>
    <w:p>
      <w:pPr>
        <w:pStyle w:val="Compact"/>
        <w:numPr>
          <w:ilvl w:val="0"/>
          <w:numId w:val="1001"/>
        </w:numPr>
      </w:pPr>
      <w:r>
        <w:t xml:space="preserve">Защитное поле: не менее ½ высоты основного знака со всех сторон.</w:t>
      </w:r>
    </w:p>
    <w:p>
      <w:pPr>
        <w:pStyle w:val="Compact"/>
        <w:numPr>
          <w:ilvl w:val="0"/>
          <w:numId w:val="1001"/>
        </w:numPr>
      </w:pPr>
      <w:r>
        <w:t xml:space="preserve">Минимальный размер: 32 px по высоте для цифровых носителей; 12 мм для печатных.</w:t>
      </w:r>
    </w:p>
    <w:bookmarkEnd w:id="13"/>
    <w:bookmarkStart w:id="14" w:name="версии"/>
    <w:p>
      <w:pPr>
        <w:pStyle w:val="Heading3"/>
      </w:pPr>
      <w:r>
        <w:t xml:space="preserve">3.3. Версии</w:t>
      </w:r>
    </w:p>
    <w:p>
      <w:pPr>
        <w:pStyle w:val="Compact"/>
        <w:numPr>
          <w:ilvl w:val="0"/>
          <w:numId w:val="1002"/>
        </w:numPr>
      </w:pPr>
      <w:r>
        <w:t xml:space="preserve">Основной (цветной): на светлом фоне.</w:t>
      </w:r>
    </w:p>
    <w:p>
      <w:pPr>
        <w:pStyle w:val="Compact"/>
        <w:numPr>
          <w:ilvl w:val="0"/>
          <w:numId w:val="1002"/>
        </w:numPr>
      </w:pPr>
      <w:r>
        <w:t xml:space="preserve">Моно: чёрный 100% на белом.</w:t>
      </w:r>
    </w:p>
    <w:p>
      <w:pPr>
        <w:pStyle w:val="Compact"/>
        <w:numPr>
          <w:ilvl w:val="0"/>
          <w:numId w:val="1002"/>
        </w:numPr>
      </w:pPr>
      <w:r>
        <w:t xml:space="preserve">Инверсия: белый на тёмном фоне (Primary Dark).</w:t>
      </w:r>
    </w:p>
    <w:p>
      <w:pPr>
        <w:pStyle w:val="Compact"/>
        <w:numPr>
          <w:ilvl w:val="0"/>
          <w:numId w:val="1002"/>
        </w:numPr>
      </w:pPr>
      <w:r>
        <w:t xml:space="preserve">Фавикон 32×32, 16×16.</w:t>
      </w:r>
    </w:p>
    <w:bookmarkEnd w:id="14"/>
    <w:bookmarkStart w:id="15" w:name="запрещённые-применения"/>
    <w:p>
      <w:pPr>
        <w:pStyle w:val="Heading3"/>
      </w:pPr>
      <w:r>
        <w:t xml:space="preserve">3.4. Запрещённые применения</w:t>
      </w:r>
    </w:p>
    <w:p>
      <w:pPr>
        <w:pStyle w:val="Compact"/>
        <w:numPr>
          <w:ilvl w:val="0"/>
          <w:numId w:val="1003"/>
        </w:numPr>
      </w:pPr>
      <w:r>
        <w:t xml:space="preserve">Изменение пропорций.</w:t>
      </w:r>
    </w:p>
    <w:p>
      <w:pPr>
        <w:pStyle w:val="Compact"/>
        <w:numPr>
          <w:ilvl w:val="0"/>
          <w:numId w:val="1003"/>
        </w:numPr>
      </w:pPr>
      <w:r>
        <w:t xml:space="preserve">Поворот более чем на 0°.</w:t>
      </w:r>
    </w:p>
    <w:p>
      <w:pPr>
        <w:pStyle w:val="Compact"/>
        <w:numPr>
          <w:ilvl w:val="0"/>
          <w:numId w:val="1003"/>
        </w:numPr>
      </w:pPr>
      <w:r>
        <w:t xml:space="preserve">Применение тени, обводки, градиента вне токенов.</w:t>
      </w:r>
    </w:p>
    <w:p>
      <w:pPr>
        <w:pStyle w:val="Compact"/>
        <w:numPr>
          <w:ilvl w:val="0"/>
          <w:numId w:val="1003"/>
        </w:numPr>
      </w:pPr>
      <w:r>
        <w:t xml:space="preserve">Размещение на пёстром фоне без подложки.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цветовая-палитра"/>
    <w:p>
      <w:pPr>
        <w:pStyle w:val="Heading2"/>
      </w:pPr>
      <w:r>
        <w:t xml:space="preserve">4. Цветовая палитра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RGB</w:t>
            </w:r>
          </w:p>
        </w:tc>
        <w:tc>
          <w:tcPr/>
          <w:p>
            <w:pPr>
              <w:pStyle w:val="Compact"/>
            </w:pPr>
            <w:r>
              <w:t xml:space="preserve">CMYK</w:t>
            </w:r>
          </w:p>
        </w:tc>
        <w:tc>
          <w:tcPr/>
          <w:p>
            <w:pPr>
              <w:pStyle w:val="Compact"/>
            </w:pPr>
            <w:r>
              <w:t xml:space="preserve">Pantone (ближайший)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Государственный синий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#0B2B5C</w:t>
            </w:r>
          </w:p>
        </w:tc>
        <w:tc>
          <w:tcPr/>
          <w:p>
            <w:pPr>
              <w:pStyle w:val="Compact"/>
            </w:pPr>
            <w:r>
              <w:t xml:space="preserve">11 / 43 / 92</w:t>
            </w:r>
          </w:p>
        </w:tc>
        <w:tc>
          <w:tcPr/>
          <w:p>
            <w:pPr>
              <w:pStyle w:val="Compact"/>
            </w:pPr>
            <w:r>
              <w:t xml:space="preserve">100 / 89 / 31 / 28</w:t>
            </w:r>
          </w:p>
        </w:tc>
        <w:tc>
          <w:tcPr/>
          <w:p>
            <w:pPr>
              <w:pStyle w:val="Compact"/>
            </w:pPr>
            <w:r>
              <w:t xml:space="preserve">2767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Dark</w:t>
            </w:r>
          </w:p>
        </w:tc>
        <w:tc>
          <w:tcPr/>
          <w:p>
            <w:pPr>
              <w:pStyle w:val="Compact"/>
            </w:pPr>
            <w:r>
              <w:t xml:space="preserve">Глубокая ночь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#061A3A</w:t>
            </w:r>
          </w:p>
        </w:tc>
        <w:tc>
          <w:tcPr/>
          <w:p>
            <w:pPr>
              <w:pStyle w:val="Compact"/>
            </w:pPr>
            <w:r>
              <w:t xml:space="preserve">6 / 26 / 58</w:t>
            </w:r>
          </w:p>
        </w:tc>
        <w:tc>
          <w:tcPr/>
          <w:p>
            <w:pPr>
              <w:pStyle w:val="Compact"/>
            </w:pPr>
            <w:r>
              <w:t xml:space="preserve">100 / 92 / 45 / 56</w:t>
            </w:r>
          </w:p>
        </w:tc>
        <w:tc>
          <w:tcPr/>
          <w:p>
            <w:pPr>
              <w:pStyle w:val="Compact"/>
            </w:pPr>
            <w:r>
              <w:t xml:space="preserve">2767 C dark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Light</w:t>
            </w:r>
          </w:p>
        </w:tc>
        <w:tc>
          <w:tcPr/>
          <w:p>
            <w:pPr>
              <w:pStyle w:val="Compact"/>
            </w:pPr>
            <w:r>
              <w:t xml:space="preserve">Лазурь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#1F4A8F</w:t>
            </w:r>
          </w:p>
        </w:tc>
        <w:tc>
          <w:tcPr/>
          <w:p>
            <w:pPr>
              <w:pStyle w:val="Compact"/>
            </w:pPr>
            <w:r>
              <w:t xml:space="preserve">31 / 74 / 143</w:t>
            </w:r>
          </w:p>
        </w:tc>
        <w:tc>
          <w:tcPr/>
          <w:p>
            <w:pPr>
              <w:pStyle w:val="Compact"/>
            </w:pPr>
            <w:r>
              <w:t xml:space="preserve">90 / 73 / 13 / 1</w:t>
            </w:r>
          </w:p>
        </w:tc>
        <w:tc>
          <w:tcPr/>
          <w:p>
            <w:pPr>
              <w:pStyle w:val="Compact"/>
            </w:pPr>
            <w:r>
              <w:t xml:space="preserve">2945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t xml:space="preserve">Капитал-золото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#C9A961</w:t>
            </w:r>
          </w:p>
        </w:tc>
        <w:tc>
          <w:tcPr/>
          <w:p>
            <w:pPr>
              <w:pStyle w:val="Compact"/>
            </w:pPr>
            <w:r>
              <w:t xml:space="preserve">201 / 169 / 97</w:t>
            </w:r>
          </w:p>
        </w:tc>
        <w:tc>
          <w:tcPr/>
          <w:p>
            <w:pPr>
              <w:pStyle w:val="Compact"/>
            </w:pPr>
            <w:r>
              <w:t xml:space="preserve">22 / 31 / 71 / 9</w:t>
            </w:r>
          </w:p>
        </w:tc>
        <w:tc>
          <w:tcPr/>
          <w:p>
            <w:pPr>
              <w:pStyle w:val="Compact"/>
            </w:pPr>
            <w:r>
              <w:t xml:space="preserve">871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 Soft</w:t>
            </w:r>
          </w:p>
        </w:tc>
        <w:tc>
          <w:tcPr/>
          <w:p>
            <w:pPr>
              <w:pStyle w:val="Compact"/>
            </w:pPr>
            <w:r>
              <w:t xml:space="preserve">Песок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#E8D8A8</w:t>
            </w:r>
          </w:p>
        </w:tc>
        <w:tc>
          <w:tcPr/>
          <w:p>
            <w:pPr>
              <w:pStyle w:val="Compact"/>
            </w:pPr>
            <w:r>
              <w:t xml:space="preserve">232 / 216 / 168</w:t>
            </w:r>
          </w:p>
        </w:tc>
        <w:tc>
          <w:tcPr/>
          <w:p>
            <w:pPr>
              <w:pStyle w:val="Compact"/>
            </w:pPr>
            <w:r>
              <w:t xml:space="preserve">9 / 13 / 38 / 0</w:t>
            </w:r>
          </w:p>
        </w:tc>
        <w:tc>
          <w:tcPr/>
          <w:p>
            <w:pPr>
              <w:pStyle w:val="Compact"/>
            </w:pPr>
            <w:r>
              <w:t xml:space="preserve">7501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 900</w:t>
            </w:r>
          </w:p>
        </w:tc>
        <w:tc>
          <w:tcPr/>
          <w:p>
            <w:pPr>
              <w:pStyle w:val="Compact"/>
            </w:pPr>
            <w:r>
              <w:t xml:space="preserve">Уголь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#1A1D24</w:t>
            </w:r>
          </w:p>
        </w:tc>
        <w:tc>
          <w:tcPr/>
          <w:p>
            <w:pPr>
              <w:pStyle w:val="Compact"/>
            </w:pPr>
            <w:r>
              <w:t xml:space="preserve">26 / 29 / 36</w:t>
            </w:r>
          </w:p>
        </w:tc>
        <w:tc>
          <w:tcPr/>
          <w:p>
            <w:pPr>
              <w:pStyle w:val="Compact"/>
            </w:pPr>
            <w:r>
              <w:t xml:space="preserve">78 / 71 / 56 / 70</w:t>
            </w:r>
          </w:p>
        </w:tc>
        <w:tc>
          <w:tcPr/>
          <w:p>
            <w:pPr>
              <w:pStyle w:val="Compact"/>
            </w:pPr>
            <w:r>
              <w:t xml:space="preserve">Black 6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 700</w:t>
            </w:r>
          </w:p>
        </w:tc>
        <w:tc>
          <w:tcPr/>
          <w:p>
            <w:pPr>
              <w:pStyle w:val="Compact"/>
            </w:pPr>
            <w:r>
              <w:t xml:space="preserve">Графит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#3B414C</w:t>
            </w:r>
          </w:p>
        </w:tc>
        <w:tc>
          <w:tcPr/>
          <w:p>
            <w:pPr>
              <w:pStyle w:val="Compact"/>
            </w:pPr>
            <w:r>
              <w:t xml:space="preserve">59 / 65 / 76</w:t>
            </w:r>
          </w:p>
        </w:tc>
        <w:tc>
          <w:tcPr/>
          <w:p>
            <w:pPr>
              <w:pStyle w:val="Compact"/>
            </w:pPr>
            <w:r>
              <w:t xml:space="preserve">71 / 63 / 51 / 38</w:t>
            </w:r>
          </w:p>
        </w:tc>
        <w:tc>
          <w:tcPr/>
          <w:p>
            <w:pPr>
              <w:pStyle w:val="Compact"/>
            </w:pPr>
            <w:r>
              <w:t xml:space="preserve">432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 500</w:t>
            </w:r>
          </w:p>
        </w:tc>
        <w:tc>
          <w:tcPr/>
          <w:p>
            <w:pPr>
              <w:pStyle w:val="Compact"/>
            </w:pPr>
            <w:r>
              <w:t xml:space="preserve">Сталь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#6C7280</w:t>
            </w:r>
          </w:p>
        </w:tc>
        <w:tc>
          <w:tcPr/>
          <w:p>
            <w:pPr>
              <w:pStyle w:val="Compact"/>
            </w:pPr>
            <w:r>
              <w:t xml:space="preserve">108 / 114 / 128</w:t>
            </w:r>
          </w:p>
        </w:tc>
        <w:tc>
          <w:tcPr/>
          <w:p>
            <w:pPr>
              <w:pStyle w:val="Compact"/>
            </w:pPr>
            <w:r>
              <w:t xml:space="preserve">56 / 47 / 41 / 14</w:t>
            </w:r>
          </w:p>
        </w:tc>
        <w:tc>
          <w:tcPr/>
          <w:p>
            <w:pPr>
              <w:pStyle w:val="Compact"/>
            </w:pPr>
            <w:r>
              <w:t xml:space="preserve">Cool Gray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 300</w:t>
            </w:r>
          </w:p>
        </w:tc>
        <w:tc>
          <w:tcPr/>
          <w:p>
            <w:pPr>
              <w:pStyle w:val="Compact"/>
            </w:pPr>
            <w:r>
              <w:t xml:space="preserve">Лёд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#D0D4DB</w:t>
            </w:r>
          </w:p>
        </w:tc>
        <w:tc>
          <w:tcPr/>
          <w:p>
            <w:pPr>
              <w:pStyle w:val="Compact"/>
            </w:pPr>
            <w:r>
              <w:t xml:space="preserve">208 / 212 / 219</w:t>
            </w:r>
          </w:p>
        </w:tc>
        <w:tc>
          <w:tcPr/>
          <w:p>
            <w:pPr>
              <w:pStyle w:val="Compact"/>
            </w:pPr>
            <w:r>
              <w:t xml:space="preserve">17 / 12 / 11 / 0</w:t>
            </w:r>
          </w:p>
        </w:tc>
        <w:tc>
          <w:tcPr/>
          <w:p>
            <w:pPr>
              <w:pStyle w:val="Compact"/>
            </w:pPr>
            <w:r>
              <w:t xml:space="preserve">Cool Gray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 100</w:t>
            </w:r>
          </w:p>
        </w:tc>
        <w:tc>
          <w:tcPr/>
          <w:p>
            <w:pPr>
              <w:pStyle w:val="Compact"/>
            </w:pPr>
            <w:r>
              <w:t xml:space="preserve">Молоко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#F4F6FA</w:t>
            </w:r>
          </w:p>
        </w:tc>
        <w:tc>
          <w:tcPr/>
          <w:p>
            <w:pPr>
              <w:pStyle w:val="Compact"/>
            </w:pPr>
            <w:r>
              <w:t xml:space="preserve">244 / 246 / 250</w:t>
            </w:r>
          </w:p>
        </w:tc>
        <w:tc>
          <w:tcPr/>
          <w:p>
            <w:pPr>
              <w:pStyle w:val="Compact"/>
            </w:pPr>
            <w:r>
              <w:t xml:space="preserve">3 / 2 / 0 / 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Белый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255 / 255 / 255</w:t>
            </w:r>
          </w:p>
        </w:tc>
        <w:tc>
          <w:tcPr/>
          <w:p>
            <w:pPr>
              <w:pStyle w:val="Compact"/>
            </w:pPr>
            <w:r>
              <w:t xml:space="preserve">0 / 0 / 0 / 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Зелёный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#1E8E5C</w:t>
            </w:r>
          </w:p>
        </w:tc>
        <w:tc>
          <w:tcPr/>
          <w:p>
            <w:pPr>
              <w:pStyle w:val="Compact"/>
            </w:pPr>
            <w:r>
              <w:t xml:space="preserve">30 / 142 / 92</w:t>
            </w:r>
          </w:p>
        </w:tc>
        <w:tc>
          <w:tcPr/>
          <w:p>
            <w:pPr>
              <w:pStyle w:val="Compact"/>
            </w:pPr>
            <w:r>
              <w:t xml:space="preserve">84 / 24 / 79 / 9</w:t>
            </w:r>
          </w:p>
        </w:tc>
        <w:tc>
          <w:tcPr/>
          <w:p>
            <w:pPr>
              <w:pStyle w:val="Compact"/>
            </w:pPr>
            <w:r>
              <w:t xml:space="preserve">7740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Янтарь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#C58A1C</w:t>
            </w:r>
          </w:p>
        </w:tc>
        <w:tc>
          <w:tcPr/>
          <w:p>
            <w:pPr>
              <w:pStyle w:val="Compact"/>
            </w:pPr>
            <w:r>
              <w:t xml:space="preserve">197 / 138 / 28</w:t>
            </w:r>
          </w:p>
        </w:tc>
        <w:tc>
          <w:tcPr/>
          <w:p>
            <w:pPr>
              <w:pStyle w:val="Compact"/>
            </w:pPr>
            <w:r>
              <w:t xml:space="preserve">24 / 47 / 100 / 8</w:t>
            </w:r>
          </w:p>
        </w:tc>
        <w:tc>
          <w:tcPr/>
          <w:p>
            <w:pPr>
              <w:pStyle w:val="Compact"/>
            </w:pPr>
            <w:r>
              <w:t xml:space="preserve">124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Кармин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#B33A3A</w:t>
            </w:r>
          </w:p>
        </w:tc>
        <w:tc>
          <w:tcPr/>
          <w:p>
            <w:pPr>
              <w:pStyle w:val="Compact"/>
            </w:pPr>
            <w:r>
              <w:t xml:space="preserve">179 / 58 / 58</w:t>
            </w:r>
          </w:p>
        </w:tc>
        <w:tc>
          <w:tcPr/>
          <w:p>
            <w:pPr>
              <w:pStyle w:val="Compact"/>
            </w:pPr>
            <w:r>
              <w:t xml:space="preserve">24 / 90 / 80 / 14</w:t>
            </w:r>
          </w:p>
        </w:tc>
        <w:tc>
          <w:tcPr/>
          <w:p>
            <w:pPr>
              <w:pStyle w:val="Compact"/>
            </w:pPr>
            <w:r>
              <w:t xml:space="preserve">1797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Лазурь-light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#3B82C4</w:t>
            </w:r>
          </w:p>
        </w:tc>
        <w:tc>
          <w:tcPr/>
          <w:p>
            <w:pPr>
              <w:pStyle w:val="Compact"/>
            </w:pPr>
            <w:r>
              <w:t xml:space="preserve">59 / 130 / 196</w:t>
            </w:r>
          </w:p>
        </w:tc>
        <w:tc>
          <w:tcPr/>
          <w:p>
            <w:pPr>
              <w:pStyle w:val="Compact"/>
            </w:pPr>
            <w:r>
              <w:t xml:space="preserve">75 / 41 / 7 / 1</w:t>
            </w:r>
          </w:p>
        </w:tc>
        <w:tc>
          <w:tcPr/>
          <w:p>
            <w:pPr>
              <w:pStyle w:val="Compact"/>
            </w:pPr>
            <w:r>
              <w:t xml:space="preserve">7461 C</w:t>
            </w:r>
          </w:p>
        </w:tc>
      </w:tr>
    </w:tbl>
    <w:bookmarkStart w:id="17" w:name="контрастность-wcag-2.2"/>
    <w:p>
      <w:pPr>
        <w:pStyle w:val="Heading3"/>
      </w:pPr>
      <w:r>
        <w:t xml:space="preserve">Контрастность WCAG 2.2</w:t>
      </w:r>
    </w:p>
    <w:p>
      <w:pPr>
        <w:pStyle w:val="Compact"/>
        <w:numPr>
          <w:ilvl w:val="0"/>
          <w:numId w:val="1004"/>
        </w:numPr>
      </w:pPr>
      <w:r>
        <w:t xml:space="preserve">Primary</w:t>
      </w:r>
      <w:r>
        <w:t xml:space="preserve"> </w:t>
      </w:r>
      <w:r>
        <w:rPr>
          <w:rStyle w:val="VerbatimChar"/>
        </w:rPr>
        <w:t xml:space="preserve">#0B2B5C</w:t>
      </w:r>
      <w:r>
        <w:t xml:space="preserve"> </w:t>
      </w:r>
      <w:r>
        <w:t xml:space="preserve">на White → 12,1:1 (AAA).</w:t>
      </w:r>
    </w:p>
    <w:p>
      <w:pPr>
        <w:pStyle w:val="Compact"/>
        <w:numPr>
          <w:ilvl w:val="0"/>
          <w:numId w:val="1004"/>
        </w:numPr>
      </w:pPr>
      <w:r>
        <w:t xml:space="preserve">Accent</w:t>
      </w:r>
      <w:r>
        <w:t xml:space="preserve"> </w:t>
      </w:r>
      <w:r>
        <w:rPr>
          <w:rStyle w:val="VerbatimChar"/>
        </w:rPr>
        <w:t xml:space="preserve">#C9A961</w:t>
      </w:r>
      <w:r>
        <w:t xml:space="preserve"> </w:t>
      </w:r>
      <w:r>
        <w:t xml:space="preserve">на White → 2,6:1 (для крупных текстов и графики; не использовать для основной типографики).</w:t>
      </w:r>
    </w:p>
    <w:p>
      <w:pPr>
        <w:pStyle w:val="Compact"/>
        <w:numPr>
          <w:ilvl w:val="0"/>
          <w:numId w:val="1004"/>
        </w:numPr>
      </w:pPr>
      <w:r>
        <w:t xml:space="preserve">Neutral 900</w:t>
      </w:r>
      <w:r>
        <w:t xml:space="preserve"> </w:t>
      </w:r>
      <w:r>
        <w:rPr>
          <w:rStyle w:val="VerbatimChar"/>
        </w:rPr>
        <w:t xml:space="preserve">#1A1D24</w:t>
      </w:r>
      <w:r>
        <w:t xml:space="preserve"> </w:t>
      </w:r>
      <w:r>
        <w:t xml:space="preserve">на White → 15,6:1 (AAA).</w:t>
      </w:r>
    </w:p>
    <w:p>
      <w:pPr>
        <w:pStyle w:val="Compact"/>
        <w:numPr>
          <w:ilvl w:val="0"/>
          <w:numId w:val="1004"/>
        </w:numPr>
      </w:pPr>
      <w:r>
        <w:t xml:space="preserve">White на Primary → 12,1:1 (AAA).</w:t>
      </w:r>
    </w:p>
    <w:bookmarkEnd w:id="17"/>
    <w:bookmarkStart w:id="18" w:name="пропорции-применения-фирменный-сплит"/>
    <w:p>
      <w:pPr>
        <w:pStyle w:val="Heading3"/>
      </w:pPr>
      <w:r>
        <w:t xml:space="preserve">Пропорции применения (фирменный сплит)</w:t>
      </w:r>
    </w:p>
    <w:p>
      <w:pPr>
        <w:pStyle w:val="Compact"/>
        <w:numPr>
          <w:ilvl w:val="0"/>
          <w:numId w:val="1005"/>
        </w:numPr>
      </w:pPr>
      <w:r>
        <w:t xml:space="preserve">Primary — 60%</w:t>
      </w:r>
    </w:p>
    <w:p>
      <w:pPr>
        <w:pStyle w:val="Compact"/>
        <w:numPr>
          <w:ilvl w:val="0"/>
          <w:numId w:val="1005"/>
        </w:numPr>
      </w:pPr>
      <w:r>
        <w:t xml:space="preserve">Neutrals (100/300/500/700/900 + White) — 30%</w:t>
      </w:r>
    </w:p>
    <w:p>
      <w:pPr>
        <w:pStyle w:val="Compact"/>
        <w:numPr>
          <w:ilvl w:val="0"/>
          <w:numId w:val="1005"/>
        </w:numPr>
      </w:pPr>
      <w:r>
        <w:t xml:space="preserve">Accent — 10% (только для акцентов: ключевые цифры, кнопки CTA, маркеры).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типографика"/>
    <w:p>
      <w:pPr>
        <w:pStyle w:val="Heading2"/>
      </w:pPr>
      <w:r>
        <w:t xml:space="preserve">5. Типографика</w:t>
      </w:r>
    </w:p>
    <w:bookmarkStart w:id="20" w:name="шрифтовые-семейства"/>
    <w:p>
      <w:pPr>
        <w:pStyle w:val="Heading3"/>
      </w:pPr>
      <w:r>
        <w:t xml:space="preserve">5.1. Шрифтовые семейства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Семейство</w:t>
            </w:r>
          </w:p>
        </w:tc>
        <w:tc>
          <w:tcPr/>
          <w:p>
            <w:pPr>
              <w:pStyle w:val="Compact"/>
            </w:pPr>
            <w:r>
              <w:t xml:space="preserve">Замена при отсутствии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Заголовки H1–H3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Onest</w:t>
            </w:r>
            <w:r>
              <w:t xml:space="preserve"> </w:t>
            </w:r>
            <w:r>
              <w:t xml:space="preserve">(свободная лицензия SIL OFL)</w:t>
            </w:r>
          </w:p>
        </w:tc>
        <w:tc>
          <w:tcPr/>
          <w:p>
            <w:pPr>
              <w:pStyle w:val="Compact"/>
            </w:pPr>
            <w:r>
              <w:t xml:space="preserve">PT Root UI, 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Заголовки H4–H6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</w:t>
            </w:r>
            <w:r>
              <w:t xml:space="preserve"> </w:t>
            </w:r>
            <w:r>
              <w:t xml:space="preserve">(SIL OFL)</w:t>
            </w:r>
          </w:p>
        </w:tc>
        <w:tc>
          <w:tcPr/>
          <w:p>
            <w:pPr>
              <w:pStyle w:val="Compact"/>
            </w:pPr>
            <w:r>
              <w:t xml:space="preserve">PT Sans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Корпус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PT Sans, system-ui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Технические идентификаторы, ID, числа в таблицах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JetBrains Mono</w:t>
            </w:r>
            <w:r>
              <w:t xml:space="preserve"> </w:t>
            </w:r>
            <w:r>
              <w:t xml:space="preserve">(Apache 2.0)</w:t>
            </w:r>
          </w:p>
        </w:tc>
        <w:tc>
          <w:tcPr/>
          <w:p>
            <w:pPr>
              <w:pStyle w:val="Compact"/>
            </w:pPr>
            <w:r>
              <w:t xml:space="preserve">IBM Plex Mono, Consolas</w:t>
            </w:r>
          </w:p>
        </w:tc>
      </w:tr>
    </w:tbl>
    <w:bookmarkEnd w:id="20"/>
    <w:bookmarkStart w:id="21" w:name="размерная-сетка-web-mobile"/>
    <w:p>
      <w:pPr>
        <w:pStyle w:val="Heading3"/>
      </w:pPr>
      <w:r>
        <w:t xml:space="preserve">5.2. Размерная сетка (web / mobile)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Межстрочный</w:t>
            </w:r>
          </w:p>
        </w:tc>
        <w:tc>
          <w:tcPr/>
          <w:p>
            <w:pPr>
              <w:pStyle w:val="Compac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/ 56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Hero-заголовок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 / 42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 / 32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Подраздел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/ 26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Карточка / блок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/ 22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Список / акцент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/ 20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Метка раздела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/ 28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Длинный 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/ 26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Основной корпус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/ 22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Подписи, второстепенный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/ 16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Микротекст, 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/ 14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Юридические оговорки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/ 22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ID, числа, реестр</w:t>
            </w:r>
          </w:p>
        </w:tc>
      </w:tr>
    </w:tbl>
    <w:bookmarkEnd w:id="21"/>
    <w:bookmarkStart w:id="22" w:name="поведение"/>
    <w:p>
      <w:pPr>
        <w:pStyle w:val="Heading3"/>
      </w:pPr>
      <w:r>
        <w:t xml:space="preserve">5.3. Поведение</w:t>
      </w:r>
    </w:p>
    <w:p>
      <w:pPr>
        <w:pStyle w:val="Compact"/>
        <w:numPr>
          <w:ilvl w:val="0"/>
          <w:numId w:val="1006"/>
        </w:numPr>
      </w:pPr>
      <w:r>
        <w:t xml:space="preserve">Числа в таблицах — выровнены по разрядам (font-variant-numeric: tabular-nums).</w:t>
      </w:r>
    </w:p>
    <w:p>
      <w:pPr>
        <w:pStyle w:val="Compact"/>
        <w:numPr>
          <w:ilvl w:val="0"/>
          <w:numId w:val="1006"/>
        </w:numPr>
      </w:pPr>
      <w:r>
        <w:t xml:space="preserve">Заголовки — без межбуквенного разрежения.</w:t>
      </w:r>
    </w:p>
    <w:p>
      <w:pPr>
        <w:pStyle w:val="Compact"/>
        <w:numPr>
          <w:ilvl w:val="0"/>
          <w:numId w:val="1006"/>
        </w:numPr>
      </w:pPr>
      <w:r>
        <w:t xml:space="preserve">Body — слабое разрежение -0.005em для лучшей читаемости.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сетка-и-пропорции"/>
    <w:p>
      <w:pPr>
        <w:pStyle w:val="Heading2"/>
      </w:pPr>
      <w:r>
        <w:t xml:space="preserve">6. Сетка и пропорции</w:t>
      </w:r>
    </w:p>
    <w:p>
      <w:pPr>
        <w:pStyle w:val="Compact"/>
        <w:numPr>
          <w:ilvl w:val="0"/>
          <w:numId w:val="1007"/>
        </w:numPr>
      </w:pPr>
      <w:r>
        <w:t xml:space="preserve">Web: 12-колоночная сетка, контейнер 1200 px, gap 24 px.</w:t>
      </w:r>
    </w:p>
    <w:p>
      <w:pPr>
        <w:pStyle w:val="Compact"/>
        <w:numPr>
          <w:ilvl w:val="0"/>
          <w:numId w:val="1007"/>
        </w:numPr>
      </w:pPr>
      <w:r>
        <w:t xml:space="preserve">Tablet: 8-колоночная, контейнер 100% – 64 px, gap 16 px.</w:t>
      </w:r>
    </w:p>
    <w:p>
      <w:pPr>
        <w:pStyle w:val="Compact"/>
        <w:numPr>
          <w:ilvl w:val="0"/>
          <w:numId w:val="1007"/>
        </w:numPr>
      </w:pPr>
      <w:r>
        <w:t xml:space="preserve">Mobile: 4-колоночная, контейнер 100% – 32 px, gap 12 px.</w:t>
      </w:r>
    </w:p>
    <w:p>
      <w:pPr>
        <w:pStyle w:val="Compact"/>
        <w:numPr>
          <w:ilvl w:val="0"/>
          <w:numId w:val="1007"/>
        </w:numPr>
      </w:pPr>
      <w:r>
        <w:t xml:space="preserve">Baseline grid: 4 px.</w:t>
      </w:r>
    </w:p>
    <w:p>
      <w:pPr>
        <w:pStyle w:val="Compact"/>
        <w:numPr>
          <w:ilvl w:val="0"/>
          <w:numId w:val="1007"/>
        </w:numPr>
      </w:pPr>
      <w:r>
        <w:t xml:space="preserve">Шкала отступов: 0 / 4 / 8 / 12 / 16 / 24 / 32 / 48 / 64 / 96 / 128.</w:t>
      </w:r>
    </w:p>
    <w:bookmarkStart w:id="24" w:name="скругления"/>
    <w:p>
      <w:pPr>
        <w:pStyle w:val="Heading3"/>
      </w:pPr>
      <w:r>
        <w:t xml:space="preserve">Скругления</w:t>
      </w:r>
    </w:p>
    <w:p>
      <w:pPr>
        <w:pStyle w:val="Compact"/>
        <w:numPr>
          <w:ilvl w:val="0"/>
          <w:numId w:val="1008"/>
        </w:numPr>
      </w:pPr>
      <w:r>
        <w:t xml:space="preserve">xs 4 px, sm 8 px, md 12 px, lg 16 px, xl 24 px, pill 9999 px.</w:t>
      </w:r>
    </w:p>
    <w:bookmarkEnd w:id="24"/>
    <w:bookmarkStart w:id="25" w:name="тени"/>
    <w:p>
      <w:pPr>
        <w:pStyle w:val="Heading3"/>
      </w:pPr>
      <w:r>
        <w:t xml:space="preserve">Тени</w:t>
      </w:r>
    </w:p>
    <w:p>
      <w:pPr>
        <w:pStyle w:val="Compact"/>
        <w:numPr>
          <w:ilvl w:val="0"/>
          <w:numId w:val="1009"/>
        </w:numPr>
      </w:pPr>
      <w:r>
        <w:t xml:space="preserve">elev-1:</w:t>
      </w:r>
      <w:r>
        <w:t xml:space="preserve"> </w:t>
      </w:r>
      <w:r>
        <w:rPr>
          <w:rStyle w:val="VerbatimChar"/>
        </w:rPr>
        <w:t xml:space="preserve">0 1px 2px rgba(11, 43, 92, 0.06), 0 1px 1px rgba(11, 43, 92, 0.04)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elev-2:</w:t>
      </w:r>
      <w:r>
        <w:t xml:space="preserve"> </w:t>
      </w:r>
      <w:r>
        <w:rPr>
          <w:rStyle w:val="VerbatimChar"/>
        </w:rPr>
        <w:t xml:space="preserve">0 4px 8px rgba(11, 43, 92, 0.08), 0 2px 4px rgba(11, 43, 92, 0.04)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elev-3:</w:t>
      </w:r>
      <w:r>
        <w:t xml:space="preserve"> </w:t>
      </w:r>
      <w:r>
        <w:rPr>
          <w:rStyle w:val="VerbatimChar"/>
        </w:rPr>
        <w:t xml:space="preserve">0 12px 24px rgba(11, 43, 92, 0.10), 0 4px 8px rgba(11, 43, 92, 0.06)</w:t>
      </w:r>
      <w:r>
        <w:t xml:space="preserve">.</w:t>
      </w:r>
    </w:p>
    <w:bookmarkEnd w:id="25"/>
    <w:bookmarkStart w:id="26" w:name="motion"/>
    <w:p>
      <w:pPr>
        <w:pStyle w:val="Heading3"/>
      </w:pPr>
      <w:r>
        <w:t xml:space="preserve">Motion</w:t>
      </w:r>
    </w:p>
    <w:p>
      <w:pPr>
        <w:pStyle w:val="Compact"/>
        <w:numPr>
          <w:ilvl w:val="0"/>
          <w:numId w:val="1010"/>
        </w:numPr>
      </w:pPr>
      <w:r>
        <w:t xml:space="preserve">120 мс — micro (hover, focus).</w:t>
      </w:r>
    </w:p>
    <w:p>
      <w:pPr>
        <w:pStyle w:val="Compact"/>
        <w:numPr>
          <w:ilvl w:val="0"/>
          <w:numId w:val="1010"/>
        </w:numPr>
      </w:pPr>
      <w:r>
        <w:t xml:space="preserve">200 мс — standard (открытие меню, переходы).</w:t>
      </w:r>
    </w:p>
    <w:p>
      <w:pPr>
        <w:pStyle w:val="Compact"/>
        <w:numPr>
          <w:ilvl w:val="0"/>
          <w:numId w:val="1010"/>
        </w:numPr>
      </w:pPr>
      <w:r>
        <w:t xml:space="preserve">320 мс — emphasis (модальные окна, page transition).</w:t>
      </w:r>
    </w:p>
    <w:p>
      <w:pPr>
        <w:pStyle w:val="Compact"/>
        <w:numPr>
          <w:ilvl w:val="0"/>
          <w:numId w:val="1010"/>
        </w:numPr>
      </w:pPr>
      <w:r>
        <w:t xml:space="preserve">Easing:</w:t>
      </w:r>
      <w:r>
        <w:t xml:space="preserve"> </w:t>
      </w:r>
      <w:r>
        <w:rPr>
          <w:rStyle w:val="VerbatimChar"/>
        </w:rPr>
        <w:t xml:space="preserve">cubic-bezier(0.2, 0, 0, 1)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иконография"/>
    <w:p>
      <w:pPr>
        <w:pStyle w:val="Heading2"/>
      </w:pPr>
      <w:r>
        <w:t xml:space="preserve">7. Иконография</w:t>
      </w:r>
    </w:p>
    <w:p>
      <w:pPr>
        <w:pStyle w:val="Compact"/>
        <w:numPr>
          <w:ilvl w:val="0"/>
          <w:numId w:val="1011"/>
        </w:numPr>
      </w:pPr>
      <w:r>
        <w:t xml:space="preserve">Стиль linear, штрих 1,5 px, базовый размер 24×24 px (viewBox 24).</w:t>
      </w:r>
    </w:p>
    <w:p>
      <w:pPr>
        <w:pStyle w:val="Compact"/>
        <w:numPr>
          <w:ilvl w:val="0"/>
          <w:numId w:val="1011"/>
        </w:numPr>
      </w:pPr>
      <w:r>
        <w:t xml:space="preserve">Углы: радиус 1 px.</w:t>
      </w:r>
    </w:p>
    <w:p>
      <w:pPr>
        <w:pStyle w:val="Compact"/>
        <w:numPr>
          <w:ilvl w:val="0"/>
          <w:numId w:val="1011"/>
        </w:numPr>
      </w:pPr>
      <w:r>
        <w:t xml:space="preserve">Цвет по умолчанию: Primary</w:t>
      </w:r>
      <w:r>
        <w:t xml:space="preserve"> </w:t>
      </w:r>
      <w:r>
        <w:rPr>
          <w:rStyle w:val="VerbatimChar"/>
        </w:rPr>
        <w:t xml:space="preserve">#0B2B5C</w:t>
      </w:r>
      <w:r>
        <w:t xml:space="preserve"> </w:t>
      </w:r>
      <w:r>
        <w:t xml:space="preserve">или Neutral 700.</w:t>
      </w:r>
    </w:p>
    <w:p>
      <w:pPr>
        <w:pStyle w:val="Compact"/>
        <w:numPr>
          <w:ilvl w:val="0"/>
          <w:numId w:val="1011"/>
        </w:numPr>
      </w:pPr>
      <w:r>
        <w:t xml:space="preserve">Состояние active: заливка Accent.</w:t>
      </w:r>
    </w:p>
    <w:p>
      <w:pPr>
        <w:pStyle w:val="FirstParagraph"/>
      </w:pPr>
      <w:r>
        <w:t xml:space="preserve">Базовый набор (12 иконок): документ, дом, монета, цепь (DLT), эскроу-сейф, ЦБ-печать, мобильный, графики, замок-щит, ключ-биометрия, рукопожатие, расчёт-весы.</w:t>
      </w:r>
    </w:p>
    <w:p>
      <w:r>
        <w:pict>
          <v:rect style="width:0;height:1.5pt" o:hralign="center" o:hrstd="t" o:hr="t"/>
        </w:pict>
      </w:r>
    </w:p>
    <w:bookmarkEnd w:id="28"/>
    <w:bookmarkStart w:id="29" w:name="иллюстрации"/>
    <w:p>
      <w:pPr>
        <w:pStyle w:val="Heading2"/>
      </w:pPr>
      <w:r>
        <w:t xml:space="preserve">8. Иллюстрации</w:t>
      </w:r>
    </w:p>
    <w:p>
      <w:pPr>
        <w:pStyle w:val="Compact"/>
        <w:numPr>
          <w:ilvl w:val="0"/>
          <w:numId w:val="1012"/>
        </w:numPr>
      </w:pPr>
      <w:r>
        <w:t xml:space="preserve">Геометрические абстракции: сетки, изометрия, минимальные градиенты Primary → Primary Light.</w:t>
      </w:r>
    </w:p>
    <w:p>
      <w:pPr>
        <w:pStyle w:val="Compact"/>
        <w:numPr>
          <w:ilvl w:val="0"/>
          <w:numId w:val="1012"/>
        </w:numPr>
      </w:pPr>
      <w:r>
        <w:t xml:space="preserve">Без стоковых фотографий людей.</w:t>
      </w:r>
    </w:p>
    <w:p>
      <w:pPr>
        <w:pStyle w:val="Compact"/>
        <w:numPr>
          <w:ilvl w:val="0"/>
          <w:numId w:val="1012"/>
        </w:numPr>
      </w:pPr>
      <w:r>
        <w:t xml:space="preserve">Допустимо: фото инфраструктурных объектов в стиле documentary (мост, ЛЭП, здание Банка России) — постобработка в холодных тонах.</w:t>
      </w:r>
    </w:p>
    <w:p>
      <w:r>
        <w:pict>
          <v:rect style="width:0;height:1.5pt" o:hralign="center" o:hrstd="t" o:hr="t"/>
        </w:pict>
      </w:r>
    </w:p>
    <w:bookmarkEnd w:id="29"/>
    <w:bookmarkStart w:id="32" w:name="стиль-документов"/>
    <w:p>
      <w:pPr>
        <w:pStyle w:val="Heading2"/>
      </w:pPr>
      <w:r>
        <w:t xml:space="preserve">9. Стиль документов</w:t>
      </w:r>
    </w:p>
    <w:bookmarkStart w:id="30" w:name="wordpdf"/>
    <w:p>
      <w:pPr>
        <w:pStyle w:val="Heading3"/>
      </w:pPr>
      <w:r>
        <w:t xml:space="preserve">Word/PDF</w:t>
      </w:r>
    </w:p>
    <w:p>
      <w:pPr>
        <w:pStyle w:val="Compact"/>
        <w:numPr>
          <w:ilvl w:val="0"/>
          <w:numId w:val="1013"/>
        </w:numPr>
      </w:pPr>
      <w:r>
        <w:t xml:space="preserve">Поля: верх 25 мм, низ 25 мм, лево 30 мм, право 15 мм.</w:t>
      </w:r>
    </w:p>
    <w:p>
      <w:pPr>
        <w:pStyle w:val="Compact"/>
        <w:numPr>
          <w:ilvl w:val="0"/>
          <w:numId w:val="1013"/>
        </w:numPr>
      </w:pPr>
      <w:r>
        <w:t xml:space="preserve">Шапка: Primary полоса 4 мм + название документа (Inter 9 pt, Primary).</w:t>
      </w:r>
    </w:p>
    <w:p>
      <w:pPr>
        <w:pStyle w:val="Compact"/>
        <w:numPr>
          <w:ilvl w:val="0"/>
          <w:numId w:val="1013"/>
        </w:numPr>
      </w:pPr>
      <w:r>
        <w:t xml:space="preserve">Подвал: Inter 8 pt Neutral 500: «Цифровая Платформа РСФСР • Кагиров А.-Х.А. • Свидетельство о депонировании №4011265» — слева; номер страницы — справа.</w:t>
      </w:r>
    </w:p>
    <w:p>
      <w:pPr>
        <w:pStyle w:val="Compact"/>
        <w:numPr>
          <w:ilvl w:val="0"/>
          <w:numId w:val="1013"/>
        </w:numPr>
      </w:pPr>
      <w:r>
        <w:t xml:space="preserve">Заголовки: Onest, Primary.</w:t>
      </w:r>
    </w:p>
    <w:p>
      <w:pPr>
        <w:pStyle w:val="Compact"/>
        <w:numPr>
          <w:ilvl w:val="0"/>
          <w:numId w:val="1013"/>
        </w:numPr>
      </w:pPr>
      <w:r>
        <w:t xml:space="preserve">Таблицы: чередование Neutral 100 / White, заголовок Primary 14 pt белым.</w:t>
      </w:r>
    </w:p>
    <w:p>
      <w:pPr>
        <w:pStyle w:val="Compact"/>
        <w:numPr>
          <w:ilvl w:val="0"/>
          <w:numId w:val="1013"/>
        </w:numPr>
      </w:pPr>
      <w:r>
        <w:t xml:space="preserve">Цитаты: вертикальная полоса Accent 2 px слева, текст Neutral 700.</w:t>
      </w:r>
    </w:p>
    <w:bookmarkEnd w:id="30"/>
    <w:bookmarkStart w:id="31" w:name="презентации"/>
    <w:p>
      <w:pPr>
        <w:pStyle w:val="Heading3"/>
      </w:pPr>
      <w:r>
        <w:t xml:space="preserve">Презентации</w:t>
      </w:r>
    </w:p>
    <w:p>
      <w:pPr>
        <w:pStyle w:val="FirstParagraph"/>
      </w:pPr>
      <w:r>
        <w:t xml:space="preserve">Шаблоны слайдов:</w:t>
      </w:r>
      <w:r>
        <w:t xml:space="preserve"> </w:t>
      </w:r>
      <w:r>
        <w:t xml:space="preserve">- Титул: тёмный фон Primary Dark, белый заголовок, угловой золотой знак.</w:t>
      </w:r>
      <w:r>
        <w:t xml:space="preserve"> </w:t>
      </w:r>
      <w:r>
        <w:t xml:space="preserve">- Оглавление: 12 пунктов с тонкими разделителями, нумерация цифрами Accent.</w:t>
      </w:r>
      <w:r>
        <w:t xml:space="preserve"> </w:t>
      </w:r>
      <w:r>
        <w:t xml:space="preserve">- Контентный: 1 H2 + 2 колонки.</w:t>
      </w:r>
      <w:r>
        <w:t xml:space="preserve"> </w:t>
      </w:r>
      <w:r>
        <w:t xml:space="preserve">- Цитата: крупная фраза белым на Primary, подпись Accent.</w:t>
      </w:r>
      <w:r>
        <w:t xml:space="preserve"> </w:t>
      </w:r>
      <w:r>
        <w:t xml:space="preserve">- Числовой: большие цифры Accent, описание Body M.</w:t>
      </w:r>
      <w:r>
        <w:t xml:space="preserve"> </w:t>
      </w:r>
      <w:r>
        <w:t xml:space="preserve">- Дорожная карта: горизонтальная лента с этапами.</w:t>
      </w:r>
      <w:r>
        <w:t xml:space="preserve"> </w:t>
      </w:r>
      <w:r>
        <w:t xml:space="preserve">- Контакты: тёмный фон, реквизиты в одну колонку.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веб-компоненты"/>
    <w:p>
      <w:pPr>
        <w:pStyle w:val="Heading2"/>
      </w:pPr>
      <w:r>
        <w:t xml:space="preserve">10. Веб-компоненты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Базовый стиль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Кнопка Primary</w:t>
            </w:r>
          </w:p>
        </w:tc>
        <w:tc>
          <w:tcPr/>
          <w:p>
            <w:pPr>
              <w:pStyle w:val="Compact"/>
            </w:pPr>
            <w:r>
              <w:t xml:space="preserve">Фон Primary, текст White, высота 48 px, радиус 12 px, hover Primary Light, focus 2 px Accent.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Кнопка Secondary</w:t>
            </w:r>
          </w:p>
        </w:tc>
        <w:tc>
          <w:tcPr/>
          <w:p>
            <w:pPr>
              <w:pStyle w:val="Compact"/>
            </w:pPr>
            <w:r>
              <w:t xml:space="preserve">Прозрачный фон, рамка 1 px Primary, текст Primary.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Кнопка Ghost</w:t>
            </w:r>
          </w:p>
        </w:tc>
        <w:tc>
          <w:tcPr/>
          <w:p>
            <w:pPr>
              <w:pStyle w:val="Compact"/>
            </w:pPr>
            <w:r>
              <w:t xml:space="preserve">Без рамки, текст Primary, подчёркивание при hover.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Поле ввода</w:t>
            </w:r>
          </w:p>
        </w:tc>
        <w:tc>
          <w:tcPr/>
          <w:p>
            <w:pPr>
              <w:pStyle w:val="Compact"/>
            </w:pPr>
            <w:r>
              <w:t xml:space="preserve">Фон White, рамка Neutral 300, focus Primary 2 px, ошибка Error 2 px.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Карточка</w:t>
            </w:r>
          </w:p>
        </w:tc>
        <w:tc>
          <w:tcPr/>
          <w:p>
            <w:pPr>
              <w:pStyle w:val="Compact"/>
            </w:pPr>
            <w:r>
              <w:t xml:space="preserve">Фон White, рамка Neutral 100, радиус 16 px, тень elev-1.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Навигация</w:t>
            </w:r>
          </w:p>
        </w:tc>
        <w:tc>
          <w:tcPr/>
          <w:p>
            <w:pPr>
              <w:pStyle w:val="Compact"/>
            </w:pPr>
            <w:r>
              <w:t xml:space="preserve">Фон White, нижняя граница Neutral 100, активный пункт Primary.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</w:t>
            </w:r>
          </w:p>
        </w:tc>
        <w:tc>
          <w:tcPr/>
          <w:p>
            <w:pPr>
              <w:pStyle w:val="Compact"/>
            </w:pPr>
            <w:r>
              <w:t xml:space="preserve">Фон Primary Dark, диагональная градация → Primary, иллюстрация справа.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Фон Primary Dark, текст White, ссылки Accent при hover.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мобильное-приложение"/>
    <w:p>
      <w:pPr>
        <w:pStyle w:val="Heading2"/>
      </w:pPr>
      <w:r>
        <w:t xml:space="preserve">11. Мобильное приложение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Скругления карточек</w:t>
            </w:r>
          </w:p>
        </w:tc>
        <w:tc>
          <w:tcPr/>
          <w:p>
            <w:pPr>
              <w:pStyle w:val="Compact"/>
            </w:pPr>
            <w:r>
              <w:t xml:space="preserve">md (12 px)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Высота touch-target</w:t>
            </w:r>
          </w:p>
        </w:tc>
        <w:tc>
          <w:tcPr/>
          <w:p>
            <w:pPr>
              <w:pStyle w:val="Compact"/>
            </w:pPr>
            <w:r>
              <w:t xml:space="preserve">минимум 44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Шрифт системный fallback</w:t>
            </w:r>
          </w:p>
        </w:tc>
        <w:tc>
          <w:tcPr/>
          <w:p>
            <w:pPr>
              <w:pStyle w:val="Compact"/>
            </w:pPr>
            <w:r>
              <w:t xml:space="preserve">iOS — SF Pro; Android — Roboto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Семантика акцентов</w:t>
            </w:r>
          </w:p>
        </w:tc>
        <w:tc>
          <w:tcPr/>
          <w:p>
            <w:pPr>
              <w:pStyle w:val="Compact"/>
            </w:pPr>
            <w:r>
              <w:t xml:space="preserve">Accent — только финансовые действия (выпуск ЦФА, подтверждение договора)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Тёмная тема</w:t>
            </w:r>
          </w:p>
        </w:tc>
        <w:tc>
          <w:tcPr/>
          <w:p>
            <w:pPr>
              <w:pStyle w:val="Compact"/>
            </w:pPr>
            <w:r>
              <w:t xml:space="preserve">Primary Dark → Neutral 900, обратная контрастность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корпоративные-носители"/>
    <w:p>
      <w:pPr>
        <w:pStyle w:val="Heading2"/>
      </w:pPr>
      <w:r>
        <w:t xml:space="preserve">12. Корпоративные носители</w:t>
      </w:r>
    </w:p>
    <w:p>
      <w:pPr>
        <w:pStyle w:val="Compact"/>
        <w:numPr>
          <w:ilvl w:val="0"/>
          <w:numId w:val="1014"/>
        </w:numPr>
      </w:pPr>
      <w:r>
        <w:t xml:space="preserve">Визитка: 90×50 мм, обе стороны на Primary, золото — фольгированием.</w:t>
      </w:r>
    </w:p>
    <w:p>
      <w:pPr>
        <w:pStyle w:val="Compact"/>
        <w:numPr>
          <w:ilvl w:val="0"/>
          <w:numId w:val="1014"/>
        </w:numPr>
      </w:pPr>
      <w:r>
        <w:t xml:space="preserve">Бланк: A4, тонкая полоса Primary 4 мм сверху, реквизиты внизу.</w:t>
      </w:r>
    </w:p>
    <w:p>
      <w:pPr>
        <w:pStyle w:val="Compact"/>
        <w:numPr>
          <w:ilvl w:val="0"/>
          <w:numId w:val="1014"/>
        </w:numPr>
      </w:pPr>
      <w:r>
        <w:t xml:space="preserve">Конверт C4 и DL: Primary Dark с белой монограммой.</w:t>
      </w:r>
    </w:p>
    <w:p>
      <w:pPr>
        <w:pStyle w:val="Compact"/>
        <w:numPr>
          <w:ilvl w:val="0"/>
          <w:numId w:val="1014"/>
        </w:numPr>
      </w:pPr>
      <w:r>
        <w:t xml:space="preserve">Папка для документов: Primary Dark, тиснение монограммой.</w:t>
      </w:r>
    </w:p>
    <w:p>
      <w:r>
        <w:pict>
          <v:rect style="width:0;height:1.5pt" o:hralign="center" o:hrstd="t" o:hr="t"/>
        </w:pict>
      </w:r>
    </w:p>
    <w:bookmarkEnd w:id="35"/>
    <w:bookmarkStart w:id="36" w:name="юридическая-защита"/>
    <w:p>
      <w:pPr>
        <w:pStyle w:val="Heading2"/>
      </w:pPr>
      <w:r>
        <w:t xml:space="preserve">13. Юридическая защита</w:t>
      </w:r>
    </w:p>
    <w:p>
      <w:pPr>
        <w:pStyle w:val="FirstParagraph"/>
      </w:pPr>
      <w:r>
        <w:t xml:space="preserve">Все элементы фирменной идентификации (логотип, монограмма, цветовая концепция, шрифтовые токены) являются частью защищённого ноу-хау автора согласно Свидетельству о депонировании №4011265 от 19.12.2024. Использование без письменного разрешения правообладателя не допускается.</w:t>
      </w:r>
    </w:p>
    <w:p>
      <w:r>
        <w:pict>
          <v:rect style="width:0;height:1.5pt" o:hralign="center" o:hrstd="t" o:hr="t"/>
        </w:pict>
      </w:r>
    </w:p>
    <w:bookmarkEnd w:id="36"/>
    <w:bookmarkStart w:id="37" w:name="контроль-соответствия"/>
    <w:p>
      <w:pPr>
        <w:pStyle w:val="Heading2"/>
      </w:pPr>
      <w:r>
        <w:t xml:space="preserve">14. Контроль соответствия</w:t>
      </w:r>
    </w:p>
    <w:p>
      <w:pPr>
        <w:pStyle w:val="FirstParagraph"/>
      </w:pPr>
      <w:r>
        <w:t xml:space="preserve">Любой материал, выпускаемый под брендом «ЦП РСФСР», проходит проверку по трёхуровневому чек-листу: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Структурный</w:t>
      </w:r>
      <w:r>
        <w:t xml:space="preserve"> </w:t>
      </w:r>
      <w:r>
        <w:t xml:space="preserve">— соответствие шаблону и сетке.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Цвет и шрифт</w:t>
      </w:r>
      <w:r>
        <w:t xml:space="preserve"> </w:t>
      </w:r>
      <w:r>
        <w:t xml:space="preserve">— палитра и типографика только из дизайн-токенов.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Содержание</w:t>
      </w:r>
      <w:r>
        <w:t xml:space="preserve"> </w:t>
      </w:r>
      <w:r>
        <w:t xml:space="preserve">— Tone of Voice, отсутствие запрещённых выражений, корректность нормативных ссылок.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Бренд-бук подготовлен в составе пакета проектной документации «Цифровая Платформа РСФСР» и является внутренним документом, регулирующим визуальную и вербальную идентификацию проекта.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2026-05-23T20:40:16Z</dcterms:created>
  <dcterms:modified xsi:type="dcterms:W3CDTF">2026-05-23T20:40:16Z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