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доклад"/>
    <w:p>
      <w:pPr>
        <w:pStyle w:val="Heading1"/>
      </w:pPr>
      <w:r>
        <w:t xml:space="preserve">Доклад</w:t>
      </w:r>
    </w:p>
    <w:bookmarkStart w:id="10" w:name="Xbdf827ef6d5e928ad469d2e8a904d97f05be371"/>
    <w:p>
      <w:pPr>
        <w:pStyle w:val="Heading2"/>
      </w:pPr>
      <w:r>
        <w:t xml:space="preserve">Цифровая Платформа «Российский Сервис Финансирования Социального Развития» (ЦП РСФСР)</w:t>
      </w:r>
    </w:p>
    <w:bookmarkStart w:id="9" w:name="X01dc587239f41938e1e10f798d4b2412dcd70ac"/>
    <w:p>
      <w:pPr>
        <w:pStyle w:val="Heading3"/>
      </w:pPr>
      <w:r>
        <w:t xml:space="preserve">Внебюджетное финансирование национальных и инфраструктурных проектов на базе цифровых финансовых активов под обеспечение залоговой массы граждан и организаций Российской Федерации</w:t>
      </w:r>
    </w:p>
    <w:p>
      <w:r>
        <w:pict>
          <v:rect style="width:0;height:1.5pt" o:hralign="center" o:hrstd="t" o:hr="t"/>
        </w:pict>
      </w:r>
    </w:p>
    <w:p>
      <w:pPr>
        <w:pStyle w:val="FirstParagraph"/>
      </w:pPr>
      <w:r>
        <w:rPr>
          <w:b/>
          <w:bCs/>
        </w:rPr>
        <w:t xml:space="preserve">Адресат:</w:t>
      </w:r>
      <w:r>
        <w:t xml:space="preserve"> </w:t>
      </w:r>
      <w:r>
        <w:t xml:space="preserve">Центральный Банк Российской Федерации; Министерство финансов Российской Федерации; Министерство экономического развития Российской Федерации; Министерство цифрового развития, связи и массовых коммуникаций Российской Федерации; Федеральное казначейство; Аппарат Правительства Российской Федерации.</w:t>
      </w:r>
    </w:p>
    <w:p>
      <w:pPr>
        <w:pStyle w:val="BodyText"/>
      </w:pPr>
      <w:r>
        <w:rPr>
          <w:b/>
          <w:bCs/>
        </w:rPr>
        <w:t xml:space="preserve">Автор и правообладатель концепции:</w:t>
      </w:r>
      <w:r>
        <w:t xml:space="preserve"> </w:t>
      </w:r>
      <w:r>
        <w:t xml:space="preserve">Кагиров Абдул-Хаким Ахмадович. Свидетельство о депонировании №4011265 от 19.12.2024 (ноу-хау, коммерческая тайна; хеш ГОСТ-Р 34.11-2012:</w:t>
      </w:r>
      <w:r>
        <w:t xml:space="preserve"> </w:t>
      </w:r>
      <w:r>
        <w:rPr>
          <w:rStyle w:val="VerbatimChar"/>
        </w:rPr>
        <w:t xml:space="preserve">a7d40971cbb5443e0f3d037ff054080dfb0064b59832cf1b89386078bf3de373</w:t>
      </w:r>
      <w:r>
        <w:t xml:space="preserve">).</w:t>
      </w:r>
    </w:p>
    <w:p>
      <w:r>
        <w:pict>
          <v:rect style="width:0;height:1.5pt" o:hralign="center" o:hrstd="t" o:hr="t"/>
        </w:pict>
      </w:r>
    </w:p>
    <w:bookmarkEnd w:id="9"/>
    <w:bookmarkEnd w:id="10"/>
    <w:bookmarkStart w:id="11" w:name="краткое-содержание"/>
    <w:p>
      <w:pPr>
        <w:pStyle w:val="Heading2"/>
      </w:pPr>
      <w:r>
        <w:t xml:space="preserve">1. Краткое содержание</w:t>
      </w:r>
    </w:p>
    <w:p>
      <w:pPr>
        <w:pStyle w:val="FirstParagraph"/>
      </w:pPr>
      <w:r>
        <w:t xml:space="preserve">Цифровая Платформа РСФСР — это операторская инфраструктура, обеспечивающая выпуск цифровых финансовых активов (ЦФА) под залог недвижимого и иного ликвидного имущества граждан и организаций Российской Федерации. Под совокупный портфель залоговых ЦФА Банк России производит дополнительную эмиссию денежных средств (в перспективе — в форме цифрового рубля), которые целевым образом аккумулируются на специальных эскроу-счетах под управлением Банка России и направляются через Федеральное казначейство на финансирование национальных и инфраструктурных проектов. По завершении проектов и вводе новых объектов в эксплуатацию реализуется автоматическая мена ЦФА: первоначальный залог собственника замещается ЦФА на построенный государственный объект, обременение с первоначального актива снимается, собственник получает согласованное вознаграждение.</w:t>
      </w:r>
    </w:p>
    <w:p>
      <w:pPr>
        <w:pStyle w:val="BodyText"/>
      </w:pPr>
      <w:r>
        <w:t xml:space="preserve">Платформа решает шесть стратегических задач:</w:t>
      </w:r>
      <w:r>
        <w:t xml:space="preserve"> </w:t>
      </w:r>
      <w:r>
        <w:t xml:space="preserve">- активирует «спящие» частные активы в качестве источника внебюджетного финансирования государственных программ;</w:t>
      </w:r>
      <w:r>
        <w:t xml:space="preserve"> </w:t>
      </w:r>
      <w:r>
        <w:t xml:space="preserve">- сохраняет режим контролируемой инфляции, поскольку эмиссия производится строго под обеспеченные и оценённые активы;</w:t>
      </w:r>
      <w:r>
        <w:t xml:space="preserve"> </w:t>
      </w:r>
      <w:r>
        <w:t xml:space="preserve">- сокращает очерёдность финансирования национальных проектов;</w:t>
      </w:r>
      <w:r>
        <w:t xml:space="preserve"> </w:t>
      </w:r>
      <w:r>
        <w:t xml:space="preserve">- ускоряет развитие индустрии ЦФА в Российской Федерации в соответствии с Федеральным законом №259-ФЗ от 31.07.2020;</w:t>
      </w:r>
      <w:r>
        <w:t xml:space="preserve"> </w:t>
      </w:r>
      <w:r>
        <w:t xml:space="preserve">- обеспечивает дополнительный гарантированный доход собственникам залогового имущества;</w:t>
      </w:r>
      <w:r>
        <w:t xml:space="preserve"> </w:t>
      </w:r>
      <w:r>
        <w:t xml:space="preserve">- усиливает суверенитет финансовой системы за счёт замещения внешнего долгового финансирования внутренним.</w:t>
      </w:r>
    </w:p>
    <w:p>
      <w:pPr>
        <w:pStyle w:val="BodyText"/>
      </w:pPr>
      <w:r>
        <w:t xml:space="preserve">Срок реализации платформы-оператора, согласно концепции автора, —</w:t>
      </w:r>
      <w:r>
        <w:t xml:space="preserve"> </w:t>
      </w:r>
      <w:r>
        <w:rPr>
          <w:b/>
          <w:bCs/>
        </w:rPr>
        <w:t xml:space="preserve">от 18 месяцев</w:t>
      </w:r>
      <w:r>
        <w:t xml:space="preserve">.</w:t>
      </w:r>
    </w:p>
    <w:p>
      <w:r>
        <w:pict>
          <v:rect style="width:0;height:1.5pt" o:hralign="center" o:hrstd="t" o:hr="t"/>
        </w:pict>
      </w:r>
    </w:p>
    <w:bookmarkEnd w:id="11"/>
    <w:bookmarkStart w:id="12" w:name="постановка-проблемы"/>
    <w:p>
      <w:pPr>
        <w:pStyle w:val="Heading2"/>
      </w:pPr>
      <w:r>
        <w:t xml:space="preserve">2. Постановка проблемы</w:t>
      </w:r>
    </w:p>
    <w:p>
      <w:pPr>
        <w:pStyle w:val="FirstParagraph"/>
      </w:pPr>
      <w:r>
        <w:t xml:space="preserve">Современный этап реализации национальных проектов и государственных программ Российской Федерации сталкивается с одновременным воздействием следующих ограничений:</w:t>
      </w:r>
    </w:p>
    <w:p>
      <w:pPr>
        <w:pStyle w:val="Compact"/>
        <w:numPr>
          <w:ilvl w:val="0"/>
          <w:numId w:val="1001"/>
        </w:numPr>
      </w:pPr>
      <w:r>
        <w:rPr>
          <w:b/>
          <w:bCs/>
        </w:rPr>
        <w:t xml:space="preserve">Бюджетная ограниченность.</w:t>
      </w:r>
      <w:r>
        <w:t xml:space="preserve"> </w:t>
      </w:r>
      <w:r>
        <w:t xml:space="preserve">Расходы федерального бюджета на инвестиционные программы ограничены требованиями бюджетного правила и приоритетами расходов социального блока.</w:t>
      </w:r>
    </w:p>
    <w:p>
      <w:pPr>
        <w:pStyle w:val="Compact"/>
        <w:numPr>
          <w:ilvl w:val="0"/>
          <w:numId w:val="1001"/>
        </w:numPr>
      </w:pPr>
      <w:r>
        <w:rPr>
          <w:b/>
          <w:bCs/>
        </w:rPr>
        <w:t xml:space="preserve">Высокая стоимость заёмного фондирования.</w:t>
      </w:r>
      <w:r>
        <w:t xml:space="preserve"> </w:t>
      </w:r>
      <w:r>
        <w:t xml:space="preserve">На фоне ключевой ставки Банка России последних лет привлечение коммерческого кредитного фондирования под инфраструктурные проекты становится экономически неоправданным для большинства государственных заказчиков.</w:t>
      </w:r>
    </w:p>
    <w:p>
      <w:pPr>
        <w:pStyle w:val="Compact"/>
        <w:numPr>
          <w:ilvl w:val="0"/>
          <w:numId w:val="1001"/>
        </w:numPr>
      </w:pPr>
      <w:r>
        <w:rPr>
          <w:b/>
          <w:bCs/>
        </w:rPr>
        <w:t xml:space="preserve">Ограничение доступа к международным рынкам капитала.</w:t>
      </w:r>
      <w:r>
        <w:t xml:space="preserve"> </w:t>
      </w:r>
      <w:r>
        <w:t xml:space="preserve">В условиях санкционных ограничений традиционные источники внешнего фондирования закрыты или существенно удорожены.</w:t>
      </w:r>
    </w:p>
    <w:p>
      <w:pPr>
        <w:pStyle w:val="Compact"/>
        <w:numPr>
          <w:ilvl w:val="0"/>
          <w:numId w:val="1001"/>
        </w:numPr>
      </w:pPr>
      <w:r>
        <w:rPr>
          <w:b/>
          <w:bCs/>
        </w:rPr>
        <w:t xml:space="preserve">Перенос полномасштабного запуска цифрового рубля.</w:t>
      </w:r>
      <w:r>
        <w:t xml:space="preserve"> </w:t>
      </w:r>
      <w:r>
        <w:t xml:space="preserve">Отсутствует массовая практическая основа применения цифрового рубля в крупных целевых программах.</w:t>
      </w:r>
    </w:p>
    <w:p>
      <w:pPr>
        <w:pStyle w:val="Compact"/>
        <w:numPr>
          <w:ilvl w:val="0"/>
          <w:numId w:val="1001"/>
        </w:numPr>
      </w:pPr>
      <w:r>
        <w:rPr>
          <w:b/>
          <w:bCs/>
        </w:rPr>
        <w:t xml:space="preserve">Низкий уровень монетизации частных активов.</w:t>
      </w:r>
      <w:r>
        <w:t xml:space="preserve"> </w:t>
      </w:r>
      <w:r>
        <w:t xml:space="preserve">Совокупная стоимость недвижимого имущества Российской Федерации оценивается в порядка 507 трлн рублей, при этом подавляющая её часть не вовлечена в финансовый оборот.</w:t>
      </w:r>
    </w:p>
    <w:p>
      <w:pPr>
        <w:pStyle w:val="FirstParagraph"/>
      </w:pPr>
      <w:r>
        <w:t xml:space="preserve">Эти ограничения формируют</w:t>
      </w:r>
      <w:r>
        <w:t xml:space="preserve"> </w:t>
      </w:r>
      <w:r>
        <w:rPr>
          <w:b/>
          <w:bCs/>
        </w:rPr>
        <w:t xml:space="preserve">парадокс «богатой страны с дефицитом инвестиционной денежной массы»</w:t>
      </w:r>
      <w:r>
        <w:t xml:space="preserve">: при наличии огромного запаса национального богатства его конвертация в источник развития инфраструктуры остаётся непропорционально низкой.</w:t>
      </w:r>
    </w:p>
    <w:p>
      <w:r>
        <w:pict>
          <v:rect style="width:0;height:1.5pt" o:hralign="center" o:hrstd="t" o:hr="t"/>
        </w:pict>
      </w:r>
    </w:p>
    <w:bookmarkEnd w:id="12"/>
    <w:bookmarkStart w:id="16" w:name="концептуальное-решение"/>
    <w:p>
      <w:pPr>
        <w:pStyle w:val="Heading2"/>
      </w:pPr>
      <w:r>
        <w:t xml:space="preserve">3. Концептуальное решение</w:t>
      </w:r>
    </w:p>
    <w:bookmarkStart w:id="13" w:name="принципы-работы-платформы"/>
    <w:p>
      <w:pPr>
        <w:pStyle w:val="Heading3"/>
      </w:pPr>
      <w:r>
        <w:t xml:space="preserve">3.1. Принципы работы платформы</w:t>
      </w:r>
    </w:p>
    <w:p>
      <w:pPr>
        <w:pStyle w:val="Compact"/>
        <w:numPr>
          <w:ilvl w:val="0"/>
          <w:numId w:val="1002"/>
        </w:numPr>
      </w:pPr>
      <w:r>
        <w:t xml:space="preserve">Собственник имущества (физическое лицо, юридическое лицо, государственное предприятие, индивидуальный предприниматель, некоммерческая организация, фонд) регистрируется на платформе и проходит идентификацию через Единую систему идентификации и аутентификации (ЕСИА) и/или Единую биометрическую систему.</w:t>
      </w:r>
    </w:p>
    <w:p>
      <w:pPr>
        <w:pStyle w:val="Compact"/>
        <w:numPr>
          <w:ilvl w:val="0"/>
          <w:numId w:val="1002"/>
        </w:numPr>
      </w:pPr>
      <w:r>
        <w:t xml:space="preserve">Объект имущества (недвижимость, транспорт, интеллектуальная собственность, ценные бумаги) оценивается авторизованной оценочной и/или страховой организацией согласно установленным государством методикам.</w:t>
      </w:r>
    </w:p>
    <w:p>
      <w:pPr>
        <w:pStyle w:val="Compact"/>
        <w:numPr>
          <w:ilvl w:val="0"/>
          <w:numId w:val="1002"/>
        </w:numPr>
      </w:pPr>
      <w:r>
        <w:t xml:space="preserve">На объект накладывается временное обременение в пользу платформы-оператора; имущество остаётся в распоряжении собственника.</w:t>
      </w:r>
    </w:p>
    <w:p>
      <w:pPr>
        <w:pStyle w:val="Compact"/>
        <w:numPr>
          <w:ilvl w:val="0"/>
          <w:numId w:val="1002"/>
        </w:numPr>
      </w:pPr>
      <w:r>
        <w:t xml:space="preserve">Оператор платформы, имеющий профильную лицензию Банка России, осуществляет выпуск ЦФА на условиях смарт-контракта (срок, размер, условия мены, страхования, форс-мажор, вознаграждение собственника, акт о взаиморасчётах, порядок снятия обременения).</w:t>
      </w:r>
    </w:p>
    <w:p>
      <w:pPr>
        <w:pStyle w:val="Compact"/>
        <w:numPr>
          <w:ilvl w:val="0"/>
          <w:numId w:val="1002"/>
        </w:numPr>
      </w:pPr>
      <w:r>
        <w:t xml:space="preserve">ЦФА передаётся в Банк России. Банк России производит дополнительную эмиссию денежных средств (в перспективе — цифрового рубля) под каждый полученный ЦФА и зачисляет средства на специальный эскроу-счёт под собственным управлением.</w:t>
      </w:r>
    </w:p>
    <w:p>
      <w:pPr>
        <w:pStyle w:val="Compact"/>
        <w:numPr>
          <w:ilvl w:val="0"/>
          <w:numId w:val="1002"/>
        </w:numPr>
      </w:pPr>
      <w:r>
        <w:t xml:space="preserve">Денежные средства перечисляются Федеральному казначейству и направляются государственным заказчикам — конкретным министерствам и подведомственным организациям — на реализацию утверждённых нацпроектов и федеральных программ.</w:t>
      </w:r>
    </w:p>
    <w:p>
      <w:pPr>
        <w:pStyle w:val="Compact"/>
        <w:numPr>
          <w:ilvl w:val="0"/>
          <w:numId w:val="1002"/>
        </w:numPr>
      </w:pPr>
      <w:r>
        <w:t xml:space="preserve">По завершении проекта новый объект государственной собственности оценивается. Оператор платформы выпускает на него новый ЦФА, стоимость которого превышает первоначальный ЦФА собственника. Происходит</w:t>
      </w:r>
      <w:r>
        <w:t xml:space="preserve"> </w:t>
      </w:r>
      <w:r>
        <w:rPr>
          <w:b/>
          <w:bCs/>
        </w:rPr>
        <w:t xml:space="preserve">мена ЦФА</w:t>
      </w:r>
      <w:r>
        <w:t xml:space="preserve"> </w:t>
      </w:r>
      <w:r>
        <w:t xml:space="preserve">в Банке России: вместо первоначального актива собственника в портфель Банка России переходит ЦФА на построенный объект.</w:t>
      </w:r>
    </w:p>
    <w:p>
      <w:pPr>
        <w:pStyle w:val="Compact"/>
        <w:numPr>
          <w:ilvl w:val="0"/>
          <w:numId w:val="1002"/>
        </w:numPr>
      </w:pPr>
      <w:r>
        <w:t xml:space="preserve">Первоначальное обременение снимается. Собственник получает согласованное вознаграждение. Возможна добровольная пролонгация и реинвестирование залога в новые проекты.</w:t>
      </w:r>
    </w:p>
    <w:p>
      <w:pPr>
        <w:pStyle w:val="Compact"/>
        <w:numPr>
          <w:ilvl w:val="0"/>
          <w:numId w:val="1002"/>
        </w:numPr>
      </w:pPr>
      <w:r>
        <w:t xml:space="preserve">При наступлении страхового случая страховая организация-партнёр выпускает собственный ЦФА через платформу для мены и компенсации первоначального ЦФА собственника.</w:t>
      </w:r>
    </w:p>
    <w:bookmarkEnd w:id="13"/>
    <w:bookmarkStart w:id="14" w:name="X1e141d37360d01a9e9649477f0e5b177d0e5d7a"/>
    <w:p>
      <w:pPr>
        <w:pStyle w:val="Heading3"/>
      </w:pPr>
      <w:r>
        <w:t xml:space="preserve">3.2. Ключевая особенность: контроль за инфляцией</w:t>
      </w:r>
    </w:p>
    <w:p>
      <w:pPr>
        <w:pStyle w:val="FirstParagraph"/>
      </w:pPr>
      <w:r>
        <w:t xml:space="preserve">Эмиссия Банка России производится</w:t>
      </w:r>
      <w:r>
        <w:t xml:space="preserve"> </w:t>
      </w:r>
      <w:r>
        <w:rPr>
          <w:b/>
          <w:bCs/>
        </w:rPr>
        <w:t xml:space="preserve">строго под обеспеченный и оценённый актив</w:t>
      </w:r>
      <w:r>
        <w:t xml:space="preserve"> </w:t>
      </w:r>
      <w:r>
        <w:t xml:space="preserve">и расходуется</w:t>
      </w:r>
      <w:r>
        <w:t xml:space="preserve"> </w:t>
      </w:r>
      <w:r>
        <w:rPr>
          <w:b/>
          <w:bCs/>
        </w:rPr>
        <w:t xml:space="preserve">исключительно через эскроу-счёт Банка России</w:t>
      </w:r>
      <w:r>
        <w:t xml:space="preserve"> </w:t>
      </w:r>
      <w:r>
        <w:t xml:space="preserve">на чётко определённые государственные проекты. Это исключает классический инфляционный риск необеспеченной эмиссии. Платформа фактически переводит «спящую» частную капитализацию в активную инвестиционную форму без увеличения денежного предложения, не подкреплённого реальной экономикой.</w:t>
      </w:r>
    </w:p>
    <w:bookmarkEnd w:id="14"/>
    <w:bookmarkStart w:id="15" w:name="ключевой-запрет"/>
    <w:p>
      <w:pPr>
        <w:pStyle w:val="Heading3"/>
      </w:pPr>
      <w:r>
        <w:t xml:space="preserve">3.3. Ключевой запрет</w:t>
      </w:r>
    </w:p>
    <w:p>
      <w:pPr>
        <w:pStyle w:val="FirstParagraph"/>
      </w:pPr>
      <w:r>
        <w:t xml:space="preserve">Банк России не имеет права реализовывать целиком или часть полученного ЦФА любому участнику рынка ценных бумаг или цифровых активов, либо использовать ЦФА по иному назначению, кроме обеспечения целевого финансирования государственных программ.</w:t>
      </w:r>
    </w:p>
    <w:p>
      <w:r>
        <w:pict>
          <v:rect style="width:0;height:1.5pt" o:hralign="center" o:hrstd="t" o:hr="t"/>
        </w:pict>
      </w:r>
    </w:p>
    <w:bookmarkEnd w:id="15"/>
    <w:bookmarkEnd w:id="16"/>
    <w:bookmarkStart w:id="17" w:name="потенциал-залоговой-массы"/>
    <w:p>
      <w:pPr>
        <w:pStyle w:val="Heading2"/>
      </w:pPr>
      <w:r>
        <w:t xml:space="preserve">4. Потенциал залоговой массы</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Сегмент имущества</w:t>
            </w:r>
          </w:p>
        </w:tc>
        <w:tc>
          <w:tcPr/>
          <w:p>
            <w:pPr>
              <w:pStyle w:val="Compact"/>
              <w:jc w:val="right"/>
            </w:pPr>
            <w:r>
              <w:t xml:space="preserve">Общий объём, трлн ₽</w:t>
            </w:r>
          </w:p>
        </w:tc>
        <w:tc>
          <w:tcPr/>
          <w:p>
            <w:pPr>
              <w:pStyle w:val="Compact"/>
              <w:jc w:val="right"/>
            </w:pPr>
            <w:r>
              <w:t xml:space="preserve">Консервативная оценка вовлекаемой массы (10% активов × 50% стоимости), трлн ₽</w:t>
            </w:r>
          </w:p>
        </w:tc>
      </w:tr>
      <w:tr>
        <w:tc>
          <w:tcPr/>
          <w:p>
            <w:pPr>
              <w:pStyle w:val="Compact"/>
            </w:pPr>
            <w:r>
              <w:t xml:space="preserve">Жилой фонд (4,7 млрд м² × ср. 85 000 ₽/м²)</w:t>
            </w:r>
          </w:p>
        </w:tc>
        <w:tc>
          <w:tcPr/>
          <w:p>
            <w:pPr>
              <w:pStyle w:val="Compact"/>
              <w:jc w:val="right"/>
            </w:pPr>
            <w:r>
              <w:t xml:space="preserve">400</w:t>
            </w:r>
          </w:p>
        </w:tc>
        <w:tc>
          <w:tcPr/>
          <w:p>
            <w:pPr>
              <w:pStyle w:val="Compact"/>
              <w:jc w:val="right"/>
            </w:pPr>
            <w:r>
              <w:t xml:space="preserve">20,0</w:t>
            </w:r>
          </w:p>
        </w:tc>
      </w:tr>
      <w:tr>
        <w:tc>
          <w:tcPr/>
          <w:p>
            <w:pPr>
              <w:pStyle w:val="Compact"/>
            </w:pPr>
            <w:r>
              <w:t xml:space="preserve">Коммерческая недвижимость (офисная, торговая, складская, отельная, промышленная, прочая)</w:t>
            </w:r>
          </w:p>
        </w:tc>
        <w:tc>
          <w:tcPr/>
          <w:p>
            <w:pPr>
              <w:pStyle w:val="Compact"/>
              <w:jc w:val="right"/>
            </w:pPr>
            <w:r>
              <w:t xml:space="preserve">45</w:t>
            </w:r>
          </w:p>
        </w:tc>
        <w:tc>
          <w:tcPr/>
          <w:p>
            <w:pPr>
              <w:pStyle w:val="Compact"/>
              <w:jc w:val="right"/>
            </w:pPr>
            <w:r>
              <w:t xml:space="preserve">2,5</w:t>
            </w:r>
          </w:p>
        </w:tc>
      </w:tr>
      <w:tr>
        <w:tc>
          <w:tcPr/>
          <w:p>
            <w:pPr>
              <w:pStyle w:val="Compact"/>
            </w:pPr>
            <w:r>
              <w:t xml:space="preserve">Земельные участки (ИЖС, дачи, земля под предприятиями и инфраструктурой)</w:t>
            </w:r>
          </w:p>
        </w:tc>
        <w:tc>
          <w:tcPr/>
          <w:p>
            <w:pPr>
              <w:pStyle w:val="Compact"/>
              <w:jc w:val="right"/>
            </w:pPr>
            <w:r>
              <w:t xml:space="preserve">62</w:t>
            </w:r>
          </w:p>
        </w:tc>
        <w:tc>
          <w:tcPr/>
          <w:p>
            <w:pPr>
              <w:pStyle w:val="Compact"/>
              <w:jc w:val="right"/>
            </w:pPr>
            <w:r>
              <w:t xml:space="preserve">3,0</w:t>
            </w:r>
          </w:p>
        </w:tc>
      </w:tr>
      <w:tr>
        <w:tc>
          <w:tcPr/>
          <w:p>
            <w:pPr>
              <w:pStyle w:val="Compact"/>
            </w:pPr>
            <w:r>
              <w:rPr>
                <w:b/>
                <w:bCs/>
              </w:rPr>
              <w:t xml:space="preserve">ИТОГО</w:t>
            </w:r>
          </w:p>
        </w:tc>
        <w:tc>
          <w:tcPr/>
          <w:p>
            <w:pPr>
              <w:pStyle w:val="Compact"/>
              <w:jc w:val="right"/>
            </w:pPr>
            <w:r>
              <w:rPr>
                <w:b/>
                <w:bCs/>
              </w:rPr>
              <w:t xml:space="preserve">507</w:t>
            </w:r>
          </w:p>
        </w:tc>
        <w:tc>
          <w:tcPr/>
          <w:p>
            <w:pPr>
              <w:pStyle w:val="Compact"/>
              <w:jc w:val="right"/>
            </w:pPr>
            <w:r>
              <w:rPr>
                <w:b/>
                <w:bCs/>
              </w:rPr>
              <w:t xml:space="preserve">25,5</w:t>
            </w:r>
          </w:p>
        </w:tc>
      </w:tr>
    </w:tbl>
    <w:p>
      <w:pPr>
        <w:pStyle w:val="BodyText"/>
      </w:pPr>
      <w:r>
        <w:t xml:space="preserve">Источник: концепция автора и расчёт потенциала залоговой стоимости активов Российской Федерации (без учёта инфраструктурных объектов в государственной собственности и подвижного имущества).</w:t>
      </w:r>
    </w:p>
    <w:p>
      <w:pPr>
        <w:pStyle w:val="BodyText"/>
      </w:pPr>
      <w:r>
        <w:t xml:space="preserve">Таким образом, при поэтапном вовлечении в платформу даже 5–10% этого консервативного потенциала Российская Федерация получает</w:t>
      </w:r>
      <w:r>
        <w:t xml:space="preserve"> </w:t>
      </w:r>
      <w:r>
        <w:rPr>
          <w:b/>
          <w:bCs/>
        </w:rPr>
        <w:t xml:space="preserve">до 1,3–2,5 трлн рублей внебюджетного инвестиционного фондирования</w:t>
      </w:r>
      <w:r>
        <w:t xml:space="preserve"> </w:t>
      </w:r>
      <w:r>
        <w:t xml:space="preserve">на горизонте пилотного контура и</w:t>
      </w:r>
      <w:r>
        <w:t xml:space="preserve"> </w:t>
      </w:r>
      <w:r>
        <w:rPr>
          <w:b/>
          <w:bCs/>
        </w:rPr>
        <w:t xml:space="preserve">до 25 трлн рублей</w:t>
      </w:r>
      <w:r>
        <w:t xml:space="preserve"> </w:t>
      </w:r>
      <w:r>
        <w:t xml:space="preserve">— на полной мощности промышленной фазы. Это сопоставимо с совокупным финансированием национальных проектов на трёхлетнем горизонте.</w:t>
      </w:r>
    </w:p>
    <w:p>
      <w:r>
        <w:pict>
          <v:rect style="width:0;height:1.5pt" o:hralign="center" o:hrstd="t" o:hr="t"/>
        </w:pict>
      </w:r>
    </w:p>
    <w:bookmarkEnd w:id="17"/>
    <w:bookmarkStart w:id="21" w:name="эффект-для-участников"/>
    <w:p>
      <w:pPr>
        <w:pStyle w:val="Heading2"/>
      </w:pPr>
      <w:r>
        <w:t xml:space="preserve">5. Эффект для участников</w:t>
      </w:r>
    </w:p>
    <w:bookmarkStart w:id="18" w:name="для-государства"/>
    <w:p>
      <w:pPr>
        <w:pStyle w:val="Heading3"/>
      </w:pPr>
      <w:r>
        <w:t xml:space="preserve">Для государства</w:t>
      </w:r>
    </w:p>
    <w:p>
      <w:pPr>
        <w:pStyle w:val="Compact"/>
        <w:numPr>
          <w:ilvl w:val="0"/>
          <w:numId w:val="1003"/>
        </w:numPr>
      </w:pPr>
      <w:r>
        <w:t xml:space="preserve">Внебюджетное финансирование национальных и социальных проектов без увеличения долговой нагрузки.</w:t>
      </w:r>
    </w:p>
    <w:p>
      <w:pPr>
        <w:pStyle w:val="Compact"/>
        <w:numPr>
          <w:ilvl w:val="0"/>
          <w:numId w:val="1003"/>
        </w:numPr>
      </w:pPr>
      <w:r>
        <w:t xml:space="preserve">Сокращение очерёдности финансирования глобальных проектов.</w:t>
      </w:r>
    </w:p>
    <w:p>
      <w:pPr>
        <w:pStyle w:val="Compact"/>
        <w:numPr>
          <w:ilvl w:val="0"/>
          <w:numId w:val="1003"/>
        </w:numPr>
      </w:pPr>
      <w:r>
        <w:t xml:space="preserve">Рост экономики за счёт ускоренной реализации инфраструктурных проектов и связанного мультипликатора (по экспертным оценкам коэффициент 1,8–2,3 на каждый рубль инфраструктурных инвестиций).</w:t>
      </w:r>
    </w:p>
    <w:p>
      <w:pPr>
        <w:pStyle w:val="Compact"/>
        <w:numPr>
          <w:ilvl w:val="0"/>
          <w:numId w:val="1003"/>
        </w:numPr>
      </w:pPr>
      <w:r>
        <w:t xml:space="preserve">Развитие цифровой экономики как одного из приоритетов национального развития.</w:t>
      </w:r>
    </w:p>
    <w:p>
      <w:pPr>
        <w:pStyle w:val="Compact"/>
        <w:numPr>
          <w:ilvl w:val="0"/>
          <w:numId w:val="1003"/>
        </w:numPr>
      </w:pPr>
      <w:r>
        <w:t xml:space="preserve">Повышение уровня социальной ответственности государства за счёт ускорения выполнения социальных обязательств.</w:t>
      </w:r>
    </w:p>
    <w:bookmarkEnd w:id="18"/>
    <w:bookmarkStart w:id="19" w:name="для-банка-россии"/>
    <w:p>
      <w:pPr>
        <w:pStyle w:val="Heading3"/>
      </w:pPr>
      <w:r>
        <w:t xml:space="preserve">Для Банка России</w:t>
      </w:r>
    </w:p>
    <w:p>
      <w:pPr>
        <w:pStyle w:val="Compact"/>
        <w:numPr>
          <w:ilvl w:val="0"/>
          <w:numId w:val="1004"/>
        </w:numPr>
      </w:pPr>
      <w:r>
        <w:t xml:space="preserve">Развитие финансового рынка Российской Федерации в формате суверенной цифровой инфраструктуры.</w:t>
      </w:r>
    </w:p>
    <w:p>
      <w:pPr>
        <w:pStyle w:val="Compact"/>
        <w:numPr>
          <w:ilvl w:val="0"/>
          <w:numId w:val="1004"/>
        </w:numPr>
      </w:pPr>
      <w:r>
        <w:t xml:space="preserve">Планомерное увеличение денежной массы пропорционально росту реальной экономики и обеспеченным активам.</w:t>
      </w:r>
    </w:p>
    <w:p>
      <w:pPr>
        <w:pStyle w:val="Compact"/>
        <w:numPr>
          <w:ilvl w:val="0"/>
          <w:numId w:val="1004"/>
        </w:numPr>
      </w:pPr>
      <w:r>
        <w:t xml:space="preserve">Внедрение и развитие новых платёжных инструментов.</w:t>
      </w:r>
    </w:p>
    <w:p>
      <w:pPr>
        <w:pStyle w:val="Compact"/>
        <w:numPr>
          <w:ilvl w:val="0"/>
          <w:numId w:val="1004"/>
        </w:numPr>
      </w:pPr>
      <w:r>
        <w:t xml:space="preserve">Запуск цифрового рубля в большом целевом контуре — государственных нацпроектах.</w:t>
      </w:r>
    </w:p>
    <w:p>
      <w:pPr>
        <w:pStyle w:val="Compact"/>
        <w:numPr>
          <w:ilvl w:val="0"/>
          <w:numId w:val="1004"/>
        </w:numPr>
      </w:pPr>
      <w:r>
        <w:t xml:space="preserve">Существенный вклад в цифровизацию страны.</w:t>
      </w:r>
    </w:p>
    <w:p>
      <w:pPr>
        <w:pStyle w:val="Compact"/>
        <w:numPr>
          <w:ilvl w:val="0"/>
          <w:numId w:val="1004"/>
        </w:numPr>
      </w:pPr>
      <w:r>
        <w:t xml:space="preserve">Полный контроль за расходами на строительство и реализацией нацпроектов через смарт-контракты и эскроу-счета.</w:t>
      </w:r>
    </w:p>
    <w:bookmarkEnd w:id="19"/>
    <w:bookmarkStart w:id="20" w:name="для-населения-и-бизнеса"/>
    <w:p>
      <w:pPr>
        <w:pStyle w:val="Heading3"/>
      </w:pPr>
      <w:r>
        <w:t xml:space="preserve">Для населения и бизнеса</w:t>
      </w:r>
    </w:p>
    <w:p>
      <w:pPr>
        <w:pStyle w:val="Compact"/>
        <w:numPr>
          <w:ilvl w:val="0"/>
          <w:numId w:val="1005"/>
        </w:numPr>
      </w:pPr>
      <w:r>
        <w:t xml:space="preserve">Дополнительный гарантированный доход от собственных активов без отчуждения имущества.</w:t>
      </w:r>
    </w:p>
    <w:p>
      <w:pPr>
        <w:pStyle w:val="Compact"/>
        <w:numPr>
          <w:ilvl w:val="0"/>
          <w:numId w:val="1005"/>
        </w:numPr>
      </w:pPr>
      <w:r>
        <w:t xml:space="preserve">Рост занятости в инфраструктурных проектах (значимо в контексте возвращения активного населения с СВО).</w:t>
      </w:r>
    </w:p>
    <w:p>
      <w:pPr>
        <w:pStyle w:val="Compact"/>
        <w:numPr>
          <w:ilvl w:val="0"/>
          <w:numId w:val="1005"/>
        </w:numPr>
      </w:pPr>
      <w:r>
        <w:t xml:space="preserve">Рост цифровой грамотности населения.</w:t>
      </w:r>
    </w:p>
    <w:p>
      <w:pPr>
        <w:pStyle w:val="Compact"/>
        <w:numPr>
          <w:ilvl w:val="0"/>
          <w:numId w:val="1005"/>
        </w:numPr>
      </w:pPr>
      <w:r>
        <w:t xml:space="preserve">Рост уровня и качества жизни за счёт ускоренной реализации социальных проектов.</w:t>
      </w:r>
    </w:p>
    <w:p>
      <w:pPr>
        <w:pStyle w:val="Compact"/>
        <w:numPr>
          <w:ilvl w:val="0"/>
          <w:numId w:val="1005"/>
        </w:numPr>
      </w:pPr>
      <w:r>
        <w:t xml:space="preserve">Возможность застраховать собственную недвижимость без дополнительных расходов в рамках периода нахождения её в залоге.</w:t>
      </w:r>
    </w:p>
    <w:p>
      <w:r>
        <w:pict>
          <v:rect style="width:0;height:1.5pt" o:hralign="center" o:hrstd="t" o:hr="t"/>
        </w:pict>
      </w:r>
    </w:p>
    <w:bookmarkEnd w:id="20"/>
    <w:bookmarkEnd w:id="21"/>
    <w:bookmarkStart w:id="23" w:name="правовой-контур"/>
    <w:p>
      <w:pPr>
        <w:pStyle w:val="Heading2"/>
      </w:pPr>
      <w:r>
        <w:t xml:space="preserve">6. Правовой контур</w:t>
      </w:r>
    </w:p>
    <w:p>
      <w:pPr>
        <w:pStyle w:val="FirstParagraph"/>
      </w:pPr>
      <w:r>
        <w:t xml:space="preserve">Платформа функционирует строго в правовом поле Российской Федерации. Базовые федеральные законы и нормативные акты Банка России, к которым привязана архитектура решения:</w:t>
      </w:r>
    </w:p>
    <w:p>
      <w:pPr>
        <w:pStyle w:val="Compact"/>
        <w:numPr>
          <w:ilvl w:val="0"/>
          <w:numId w:val="1006"/>
        </w:numPr>
      </w:pPr>
      <w:r>
        <w:t xml:space="preserve">Федеральный закон №259-ФЗ от 31.07.2020 «О цифровых финансовых активах, цифровой валюте и о внесении изменений в отдельные законодательные акты Российской Федерации».</w:t>
      </w:r>
    </w:p>
    <w:p>
      <w:pPr>
        <w:pStyle w:val="Compact"/>
        <w:numPr>
          <w:ilvl w:val="0"/>
          <w:numId w:val="1006"/>
        </w:numPr>
      </w:pPr>
      <w:r>
        <w:t xml:space="preserve">Федеральный закон №86-ФЗ от 10.07.2002 «О Центральном банке Российской Федерации (Банке России)».</w:t>
      </w:r>
    </w:p>
    <w:p>
      <w:pPr>
        <w:pStyle w:val="Compact"/>
        <w:numPr>
          <w:ilvl w:val="0"/>
          <w:numId w:val="1006"/>
        </w:numPr>
      </w:pPr>
      <w:r>
        <w:t xml:space="preserve">Федеральный закон №340-ФЗ от 24.07.2023 (введение цифрового рубля; изменения в 86-ФЗ).</w:t>
      </w:r>
    </w:p>
    <w:p>
      <w:pPr>
        <w:pStyle w:val="Compact"/>
        <w:numPr>
          <w:ilvl w:val="0"/>
          <w:numId w:val="1006"/>
        </w:numPr>
      </w:pPr>
      <w:r>
        <w:t xml:space="preserve">Федеральный закон №161-ФЗ от 27.06.2011 «О национальной платёжной системе».</w:t>
      </w:r>
    </w:p>
    <w:p>
      <w:pPr>
        <w:pStyle w:val="Compact"/>
        <w:numPr>
          <w:ilvl w:val="0"/>
          <w:numId w:val="1006"/>
        </w:numPr>
      </w:pPr>
      <w:r>
        <w:t xml:space="preserve">Федеральный закон №39-ФЗ от 22.04.1996 «О рынке ценных бумаг».</w:t>
      </w:r>
    </w:p>
    <w:p>
      <w:pPr>
        <w:pStyle w:val="Compact"/>
        <w:numPr>
          <w:ilvl w:val="0"/>
          <w:numId w:val="1006"/>
        </w:numPr>
      </w:pPr>
      <w:r>
        <w:t xml:space="preserve">Федеральный закон №115-ФЗ от 07.08.2001 «О противодействии легализации (отмыванию) доходов, полученных преступным путём, и финансированию терроризма».</w:t>
      </w:r>
    </w:p>
    <w:p>
      <w:pPr>
        <w:pStyle w:val="Compact"/>
        <w:numPr>
          <w:ilvl w:val="0"/>
          <w:numId w:val="1006"/>
        </w:numPr>
      </w:pPr>
      <w:r>
        <w:t xml:space="preserve">Федеральный закон №152-ФЗ от 27.07.2006 «О персональных данных».</w:t>
      </w:r>
    </w:p>
    <w:p>
      <w:pPr>
        <w:pStyle w:val="Compact"/>
        <w:numPr>
          <w:ilvl w:val="0"/>
          <w:numId w:val="1006"/>
        </w:numPr>
      </w:pPr>
      <w:r>
        <w:t xml:space="preserve">Федеральный закон №187-ФЗ от 26.07.2017 «О безопасности критической информационной инфраструктуры Российской Федерации».</w:t>
      </w:r>
    </w:p>
    <w:p>
      <w:pPr>
        <w:pStyle w:val="Compact"/>
        <w:numPr>
          <w:ilvl w:val="0"/>
          <w:numId w:val="1006"/>
        </w:numPr>
      </w:pPr>
      <w:r>
        <w:t xml:space="preserve">Федеральный закон №218-ФЗ от 13.07.2015 «О государственной регистрации недвижимости».</w:t>
      </w:r>
    </w:p>
    <w:p>
      <w:pPr>
        <w:pStyle w:val="Compact"/>
        <w:numPr>
          <w:ilvl w:val="0"/>
          <w:numId w:val="1006"/>
        </w:numPr>
      </w:pPr>
      <w:r>
        <w:t xml:space="preserve">Федеральный закон №135-ФЗ от 29.07.1998 «Об оценочной деятельности в Российской Федерации».</w:t>
      </w:r>
    </w:p>
    <w:p>
      <w:pPr>
        <w:pStyle w:val="Compact"/>
        <w:numPr>
          <w:ilvl w:val="0"/>
          <w:numId w:val="1006"/>
        </w:numPr>
      </w:pPr>
      <w:r>
        <w:t xml:space="preserve">Закон Российской Федерации №4015-1 от 27.11.1992 «Об организации страхового дела в Российской Федерации».</w:t>
      </w:r>
    </w:p>
    <w:p>
      <w:pPr>
        <w:pStyle w:val="Compact"/>
        <w:numPr>
          <w:ilvl w:val="0"/>
          <w:numId w:val="1006"/>
        </w:numPr>
      </w:pPr>
      <w:r>
        <w:t xml:space="preserve">Гражданский кодекс Российской Федерации (главы о залоге — ст. 334–358; договоре эскроу — ст. 860.7–860.10; смешанном договоре — ст. 421).</w:t>
      </w:r>
    </w:p>
    <w:p>
      <w:pPr>
        <w:pStyle w:val="Compact"/>
        <w:numPr>
          <w:ilvl w:val="0"/>
          <w:numId w:val="1006"/>
        </w:numPr>
      </w:pPr>
      <w:r>
        <w:t xml:space="preserve">Налоговый кодекс Российской Федерации (главы о ЦФА).</w:t>
      </w:r>
    </w:p>
    <w:p>
      <w:pPr>
        <w:pStyle w:val="Compact"/>
        <w:numPr>
          <w:ilvl w:val="0"/>
          <w:numId w:val="1006"/>
        </w:numPr>
      </w:pPr>
      <w:r>
        <w:t xml:space="preserve">Положение Банка России №779-П «О требованиях, при соответствии которым лицо может быть включено в реестр операторов информационных систем, в которых осуществляется выпуск цифровых финансовых активов».</w:t>
      </w:r>
    </w:p>
    <w:p>
      <w:pPr>
        <w:pStyle w:val="Compact"/>
        <w:numPr>
          <w:ilvl w:val="0"/>
          <w:numId w:val="1006"/>
        </w:numPr>
      </w:pPr>
      <w:r>
        <w:t xml:space="preserve">Положение Банка России №780-П «О требованиях к операторам обмена цифровых финансовых активов».</w:t>
      </w:r>
    </w:p>
    <w:p>
      <w:pPr>
        <w:pStyle w:val="Compact"/>
        <w:numPr>
          <w:ilvl w:val="0"/>
          <w:numId w:val="1006"/>
        </w:numPr>
      </w:pPr>
      <w:r>
        <w:t xml:space="preserve">Положение Банка России №683-П «Об установлении обязательных для кредитных организаций требований к обеспечению защиты информации».</w:t>
      </w:r>
    </w:p>
    <w:p>
      <w:pPr>
        <w:pStyle w:val="Compact"/>
        <w:numPr>
          <w:ilvl w:val="0"/>
          <w:numId w:val="1006"/>
        </w:numPr>
      </w:pPr>
      <w:r>
        <w:t xml:space="preserve">Стандарт ГОСТ Р 57580.1 (требования к защите информации финансовых организаций; целевой уровень — 4-й).</w:t>
      </w:r>
    </w:p>
    <w:bookmarkStart w:id="22" w:name="необходимые-изменения-в-нормативной-базе"/>
    <w:p>
      <w:pPr>
        <w:pStyle w:val="Heading3"/>
      </w:pPr>
      <w:r>
        <w:t xml:space="preserve">Необходимые изменения в нормативной базе</w:t>
      </w:r>
    </w:p>
    <w:p>
      <w:pPr>
        <w:pStyle w:val="FirstParagraph"/>
      </w:pPr>
      <w:r>
        <w:t xml:space="preserve">Для полномасштабного запуска требуется принятие следующего пакета нормативных актов (детальный перечень — в правовой записке проекта):</w:t>
      </w:r>
    </w:p>
    <w:p>
      <w:pPr>
        <w:pStyle w:val="Compact"/>
        <w:numPr>
          <w:ilvl w:val="0"/>
          <w:numId w:val="1007"/>
        </w:numPr>
      </w:pPr>
      <w:r>
        <w:rPr>
          <w:b/>
          <w:bCs/>
        </w:rPr>
        <w:t xml:space="preserve">Поправки в Федеральный закон №86-ФЗ</w:t>
      </w:r>
      <w:r>
        <w:t xml:space="preserve">, легализующие эмиссию денежных средств (в т.ч. цифрового рубля) под пул залоговых ЦФА с обязательным целевым размещением на специальных эскроу-счетах.</w:t>
      </w:r>
    </w:p>
    <w:p>
      <w:pPr>
        <w:pStyle w:val="Compact"/>
        <w:numPr>
          <w:ilvl w:val="0"/>
          <w:numId w:val="1007"/>
        </w:numPr>
      </w:pPr>
      <w:r>
        <w:rPr>
          <w:b/>
          <w:bCs/>
        </w:rPr>
        <w:t xml:space="preserve">Поправки в Федеральный закон №259-ФЗ</w:t>
      </w:r>
      <w:r>
        <w:t xml:space="preserve">, вводящие категорию «целевого инфраструктурного ЦФА» и регулирующие процедуру мены ЦФА.</w:t>
      </w:r>
    </w:p>
    <w:p>
      <w:pPr>
        <w:pStyle w:val="Compact"/>
        <w:numPr>
          <w:ilvl w:val="0"/>
          <w:numId w:val="1007"/>
        </w:numPr>
      </w:pPr>
      <w:r>
        <w:rPr>
          <w:b/>
          <w:bCs/>
        </w:rPr>
        <w:t xml:space="preserve">Постановление Правительства Российской Федерации</w:t>
      </w:r>
      <w:r>
        <w:t xml:space="preserve"> </w:t>
      </w:r>
      <w:r>
        <w:t xml:space="preserve">о порядке использования эмиссии Банка России на финансирование национальных проектов через Федеральное казначейство.</w:t>
      </w:r>
    </w:p>
    <w:p>
      <w:pPr>
        <w:pStyle w:val="Compact"/>
        <w:numPr>
          <w:ilvl w:val="0"/>
          <w:numId w:val="1007"/>
        </w:numPr>
      </w:pPr>
      <w:r>
        <w:rPr>
          <w:b/>
          <w:bCs/>
        </w:rPr>
        <w:t xml:space="preserve">Указание Банка России</w:t>
      </w:r>
      <w:r>
        <w:t xml:space="preserve"> </w:t>
      </w:r>
      <w:r>
        <w:t xml:space="preserve">о специальном лицензионном режиме для оператора ЦП РСФСР, включая требования к капиталу, инфраструктуре и системе внутреннего контроля.</w:t>
      </w:r>
    </w:p>
    <w:p>
      <w:pPr>
        <w:pStyle w:val="Compact"/>
        <w:numPr>
          <w:ilvl w:val="0"/>
          <w:numId w:val="1007"/>
        </w:numPr>
      </w:pPr>
      <w:r>
        <w:rPr>
          <w:b/>
          <w:bCs/>
        </w:rPr>
        <w:t xml:space="preserve">Положение Банка России</w:t>
      </w:r>
      <w:r>
        <w:t xml:space="preserve"> </w:t>
      </w:r>
      <w:r>
        <w:t xml:space="preserve">о страховании ЦФА в системе целевого инфраструктурного финансирования.</w:t>
      </w:r>
    </w:p>
    <w:p>
      <w:pPr>
        <w:pStyle w:val="Compact"/>
        <w:numPr>
          <w:ilvl w:val="0"/>
          <w:numId w:val="1007"/>
        </w:numPr>
      </w:pPr>
      <w:r>
        <w:rPr>
          <w:b/>
          <w:bCs/>
        </w:rPr>
        <w:t xml:space="preserve">Совместный приказ Минфина России / Банка России / Минцифры России</w:t>
      </w:r>
      <w:r>
        <w:t xml:space="preserve"> </w:t>
      </w:r>
      <w:r>
        <w:t xml:space="preserve">по интеграции платформы с Госуслугами, ЕГРН, СМЭВ, ГИС ГМП и Федеральным казначейством.</w:t>
      </w:r>
    </w:p>
    <w:p>
      <w:r>
        <w:pict>
          <v:rect style="width:0;height:1.5pt" o:hralign="center" o:hrstd="t" o:hr="t"/>
        </w:pict>
      </w:r>
    </w:p>
    <w:bookmarkEnd w:id="22"/>
    <w:bookmarkEnd w:id="23"/>
    <w:bookmarkStart w:id="25" w:name="технологический-контур"/>
    <w:p>
      <w:pPr>
        <w:pStyle w:val="Heading2"/>
      </w:pPr>
      <w:r>
        <w:t xml:space="preserve">7. Технологический контур</w:t>
      </w:r>
    </w:p>
    <w:p>
      <w:pPr>
        <w:pStyle w:val="FirstParagraph"/>
      </w:pPr>
      <w:r>
        <w:t xml:space="preserve">Платформа строится исключительно на отечественных компонентах из реестра российского программного обеспечения Минцифры России в соответствии с Постановлением Правительства Российской Федерации №1236 от 16.11.2015 и требованиями импортозамещения Указа Президента Российской Федерации №166 от 30.03.2022.</w:t>
      </w:r>
    </w:p>
    <w:p>
      <w:pPr>
        <w:pStyle w:val="BodyText"/>
      </w:pPr>
      <w:r>
        <w:t xml:space="preserve">Ключевые принципы:</w:t>
      </w:r>
      <w:r>
        <w:t xml:space="preserve"> </w:t>
      </w:r>
      <w:r>
        <w:t xml:space="preserve">- Многократно отказоустойчивая геораспределённая инфраструктура (минимум три центра обработки данных).</w:t>
      </w:r>
      <w:r>
        <w:t xml:space="preserve"> </w:t>
      </w:r>
      <w:r>
        <w:t xml:space="preserve">- Соответствие 4-му (максимальному) уровню защиты по ГОСТ Р 57580.1.</w:t>
      </w:r>
      <w:r>
        <w:t xml:space="preserve"> </w:t>
      </w:r>
      <w:r>
        <w:t xml:space="preserve">- Категоризация информационной системы как объекта критической информационной инфраструктуры в соответствии с Федеральным законом №187-ФЗ.</w:t>
      </w:r>
      <w:r>
        <w:t xml:space="preserve"> </w:t>
      </w:r>
      <w:r>
        <w:t xml:space="preserve">- Криптографические средства, соответствующие ГОСТ Р 34.10-2012, ГОСТ Р 34.11-2012, ГОСТ Р 34.12-2015, ГОСТ Р 34.13-2015.</w:t>
      </w:r>
      <w:r>
        <w:t xml:space="preserve"> </w:t>
      </w:r>
      <w:r>
        <w:t xml:space="preserve">- Распределённый реестр (DLT) для учёта ЦФА на базе отечественной платформы, сертифицированной Банком России и Минцифры.</w:t>
      </w:r>
      <w:r>
        <w:t xml:space="preserve"> </w:t>
      </w:r>
      <w:r>
        <w:t xml:space="preserve">- Полная интеграция с Государственными информационными системами через СМЭВ 3.</w:t>
      </w:r>
    </w:p>
    <w:p>
      <w:pPr>
        <w:pStyle w:val="BodyText"/>
      </w:pPr>
      <w:r>
        <w:t xml:space="preserve">(Подробное описание архитектуры — в Технической документации проекта.)</w:t>
      </w:r>
    </w:p>
    <w:bookmarkStart w:id="24" w:name="готовность-клиентской-части"/>
    <w:p>
      <w:pPr>
        <w:pStyle w:val="Heading3"/>
      </w:pPr>
      <w:r>
        <w:t xml:space="preserve">Готовность клиентской части</w:t>
      </w:r>
    </w:p>
    <w:p>
      <w:pPr>
        <w:pStyle w:val="FirstParagraph"/>
      </w:pPr>
      <w:r>
        <w:t xml:space="preserve">К моменту настоящего обращения клиентская часть платформы разработана в полном объёме и готова к публикации в магазинах приложений после регистрации юридического лица оператора и получения регуляторных одобрений:</w:t>
      </w:r>
    </w:p>
    <w:p>
      <w:pPr>
        <w:pStyle w:val="Compact"/>
        <w:numPr>
          <w:ilvl w:val="0"/>
          <w:numId w:val="1008"/>
        </w:numPr>
      </w:pPr>
      <w:r>
        <w:rPr>
          <w:b/>
          <w:bCs/>
        </w:rPr>
        <w:t xml:space="preserve">Мобильное приложение в формате Progressive Web App</w:t>
      </w:r>
      <w:r>
        <w:t xml:space="preserve"> </w:t>
      </w:r>
      <w:r>
        <w:t xml:space="preserve">— 23 пользовательских экрана, охватывающих все 19 шагов жизненного цикла ЦФА, описанных в концепции автора. Поддержка операционных систем iOS, Android, Windows и веб-режима через любой современный браузер. Локализация на четыре языка (русский, английский, французский, арабский с поддержкой направления текста справа налево). Поддержка четырёх тем оформления, включая контрастный режим для слабовидящих. Соответствие WCAG 2.2 уровня AA.</w:t>
      </w:r>
    </w:p>
    <w:p>
      <w:pPr>
        <w:pStyle w:val="Compact"/>
        <w:numPr>
          <w:ilvl w:val="0"/>
          <w:numId w:val="1008"/>
        </w:numPr>
      </w:pPr>
      <w:r>
        <w:rPr>
          <w:b/>
          <w:bCs/>
        </w:rPr>
        <w:t xml:space="preserve">Конструкторская документация по ГОСТ 19</w:t>
      </w:r>
      <w:r>
        <w:t xml:space="preserve"> </w:t>
      </w:r>
      <w:r>
        <w:t xml:space="preserve">— двенадцать документов от технического задания (ГОСТ 19.201) до ведомости эксплуатационных документов (ГОСТ 19.507). Документация подготовлена для подачи в Единый реестр российского программного обеспечения (Постановление Правительства Российской Федерации №1236 от 16.11.2015), для сертификации средств защиты информации в Федеральной службе по техническому и экспортному контролю и Федеральной службе безопасности.</w:t>
      </w:r>
    </w:p>
    <w:p>
      <w:pPr>
        <w:pStyle w:val="Compact"/>
        <w:numPr>
          <w:ilvl w:val="0"/>
          <w:numId w:val="1008"/>
        </w:numPr>
      </w:pPr>
      <w:r>
        <w:rPr>
          <w:b/>
          <w:bCs/>
        </w:rPr>
        <w:t xml:space="preserve">Платформенные сборки</w:t>
      </w:r>
      <w:r>
        <w:t xml:space="preserve"> </w:t>
      </w:r>
      <w:r>
        <w:t xml:space="preserve">— конфигурация и инструкции для упаковки приложения в нативные пакеты для Android (AAB для RuStore и Google Play), iOS (App Store), Windows (MSIX для Microsoft Store).</w:t>
      </w:r>
    </w:p>
    <w:p>
      <w:pPr>
        <w:pStyle w:val="Compact"/>
        <w:numPr>
          <w:ilvl w:val="0"/>
          <w:numId w:val="1008"/>
        </w:numPr>
      </w:pPr>
      <w:r>
        <w:rPr>
          <w:b/>
          <w:bCs/>
        </w:rPr>
        <w:t xml:space="preserve">Публикационный пакет RuStore</w:t>
      </w:r>
      <w:r>
        <w:t xml:space="preserve"> </w:t>
      </w:r>
      <w:r>
        <w:t xml:space="preserve">— описание приложения, политика конфиденциальности по 152-ФЗ, условия использования, промо-материалы, пошаговый чек-лист публикации.</w:t>
      </w:r>
    </w:p>
    <w:p>
      <w:pPr>
        <w:pStyle w:val="FirstParagraph"/>
      </w:pPr>
      <w:r>
        <w:t xml:space="preserve">Готовность клиентской части подтверждается возможностью её передачи на демонстрацию специалистам Банка России и государственных органов уже на текущем этапе.</w:t>
      </w:r>
    </w:p>
    <w:p>
      <w:r>
        <w:pict>
          <v:rect style="width:0;height:1.5pt" o:hralign="center" o:hrstd="t" o:hr="t"/>
        </w:pict>
      </w:r>
    </w:p>
    <w:bookmarkEnd w:id="24"/>
    <w:bookmarkEnd w:id="25"/>
    <w:bookmarkStart w:id="26" w:name="дорожная-карта-реализации"/>
    <w:p>
      <w:pPr>
        <w:pStyle w:val="Heading2"/>
      </w:pPr>
      <w:r>
        <w:t xml:space="preserve">8. Дорожная карта реализации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Период</w:t>
            </w:r>
          </w:p>
        </w:tc>
        <w:tc>
          <w:tcPr/>
          <w:p>
            <w:pPr>
              <w:pStyle w:val="Compact"/>
            </w:pPr>
            <w:r>
              <w:t xml:space="preserve">Этап</w:t>
            </w:r>
          </w:p>
        </w:tc>
        <w:tc>
          <w:tcPr/>
          <w:p>
            <w:pPr>
              <w:pStyle w:val="Compact"/>
            </w:pPr>
            <w:r>
              <w:t xml:space="preserve">Основные задачи</w:t>
            </w:r>
          </w:p>
        </w:tc>
      </w:tr>
      <w:tr>
        <w:tc>
          <w:tcPr/>
          <w:p>
            <w:pPr>
              <w:pStyle w:val="Compact"/>
            </w:pPr>
            <w:r>
              <w:t xml:space="preserve">2025–2026</w:t>
            </w:r>
          </w:p>
        </w:tc>
        <w:tc>
          <w:tcPr/>
          <w:p>
            <w:pPr>
              <w:pStyle w:val="Compact"/>
            </w:pPr>
            <w:r>
              <w:rPr>
                <w:b/>
                <w:bCs/>
              </w:rPr>
              <w:t xml:space="preserve">Подготовка</w:t>
            </w:r>
          </w:p>
        </w:tc>
        <w:tc>
          <w:tcPr/>
          <w:p>
            <w:pPr>
              <w:pStyle w:val="Compact"/>
            </w:pPr>
            <w:r>
              <w:t xml:space="preserve">Согласование концепции с Банком России и Минфином; формирование межведомственной рабочей группы (Банк России, Минфин, Минцифры, Федеральное казначейство, Росреестр, Росфинмониторинг); подготовка и согласование проектов нормативных актов; разработка и сертификация платформы; формирование пула партнёров (оценочные и страховые организации).</w:t>
            </w:r>
          </w:p>
        </w:tc>
      </w:tr>
      <w:tr>
        <w:tc>
          <w:tcPr/>
          <w:p>
            <w:pPr>
              <w:pStyle w:val="Compact"/>
            </w:pPr>
            <w:r>
              <w:t xml:space="preserve">2026–2027</w:t>
            </w:r>
          </w:p>
        </w:tc>
        <w:tc>
          <w:tcPr/>
          <w:p>
            <w:pPr>
              <w:pStyle w:val="Compact"/>
            </w:pPr>
            <w:r>
              <w:rPr>
                <w:b/>
                <w:bCs/>
              </w:rPr>
              <w:t xml:space="preserve">Пилотирование и основная фаза</w:t>
            </w:r>
          </w:p>
        </w:tc>
        <w:tc>
          <w:tcPr/>
          <w:p>
            <w:pPr>
              <w:pStyle w:val="Compact"/>
            </w:pPr>
            <w:r>
              <w:t xml:space="preserve">Запуск платформы в пилотном режиме на залоге недвижимости физических и юридических лиц; верификация бизнес-процессов; масштабирование инфраструктуры; первые целевые ЦФА-эмиссии под нацпроекты.</w:t>
            </w:r>
          </w:p>
        </w:tc>
      </w:tr>
      <w:tr>
        <w:tc>
          <w:tcPr/>
          <w:p>
            <w:pPr>
              <w:pStyle w:val="Compact"/>
            </w:pPr>
            <w:r>
              <w:t xml:space="preserve">2027+</w:t>
            </w:r>
          </w:p>
        </w:tc>
        <w:tc>
          <w:tcPr/>
          <w:p>
            <w:pPr>
              <w:pStyle w:val="Compact"/>
            </w:pPr>
            <w:r>
              <w:rPr>
                <w:b/>
                <w:bCs/>
              </w:rPr>
              <w:t xml:space="preserve">Тиражирование</w:t>
            </w:r>
          </w:p>
        </w:tc>
        <w:tc>
          <w:tcPr/>
          <w:p>
            <w:pPr>
              <w:pStyle w:val="Compact"/>
            </w:pPr>
            <w:r>
              <w:t xml:space="preserve">Распространение модели на движимое имущество, фондовые активы и интеллектуальную собственность; интеграция с международной практикой суверенных цифровых финансов (БРИКС+, ЕАЭС).</w:t>
            </w:r>
          </w:p>
        </w:tc>
      </w:tr>
    </w:tbl>
    <w:p>
      <w:r>
        <w:pict>
          <v:rect style="width:0;height:1.5pt" o:hralign="center" o:hrstd="t" o:hr="t"/>
        </w:pict>
      </w:r>
    </w:p>
    <w:bookmarkEnd w:id="26"/>
    <w:bookmarkStart w:id="27" w:name="управление-рисками"/>
    <w:p>
      <w:pPr>
        <w:pStyle w:val="Heading2"/>
      </w:pPr>
      <w:r>
        <w:t xml:space="preserve">9. Управление рисками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Риск</w:t>
            </w:r>
          </w:p>
        </w:tc>
        <w:tc>
          <w:tcPr/>
          <w:p>
            <w:pPr>
              <w:pStyle w:val="Compact"/>
            </w:pPr>
            <w:r>
              <w:t xml:space="preserve">Меры минимизации</w:t>
            </w:r>
          </w:p>
        </w:tc>
      </w:tr>
      <w:tr>
        <w:tc>
          <w:tcPr/>
          <w:p>
            <w:pPr>
              <w:pStyle w:val="Compact"/>
            </w:pPr>
            <w:r>
              <w:t xml:space="preserve">Дополнительная эмиссия осуществляется под нестандартный актив (залоговый ЦФА).</w:t>
            </w:r>
          </w:p>
        </w:tc>
        <w:tc>
          <w:tcPr/>
          <w:p>
            <w:pPr>
              <w:pStyle w:val="Compact"/>
            </w:pPr>
            <w:r>
              <w:t xml:space="preserve">Эмиссия — только под обеспеченные и оценённые ЦФА; целевое использование через эскроу-счёт Банка России; запрет на оборот ЦФА вне платформы.</w:t>
            </w:r>
          </w:p>
        </w:tc>
      </w:tr>
      <w:tr>
        <w:tc>
          <w:tcPr/>
          <w:p>
            <w:pPr>
              <w:pStyle w:val="Compact"/>
            </w:pPr>
            <w:r>
              <w:t xml:space="preserve">Сложное межведомственное взаимодействие (Банк России, Минфин, страховые компании, оценщики, государственные заказчики).</w:t>
            </w:r>
          </w:p>
        </w:tc>
        <w:tc>
          <w:tcPr/>
          <w:p>
            <w:pPr>
              <w:pStyle w:val="Compact"/>
            </w:pPr>
            <w:r>
              <w:t xml:space="preserve">Межведомственная рабочая группа с привлечением профильных специалистов; единая регламентная база; типовые смарт-контракты.</w:t>
            </w:r>
          </w:p>
        </w:tc>
      </w:tr>
      <w:tr>
        <w:tc>
          <w:tcPr/>
          <w:p>
            <w:pPr>
              <w:pStyle w:val="Compact"/>
            </w:pPr>
            <w:r>
              <w:t xml:space="preserve">Соблюдение условий и сроков смарт-контрактов.</w:t>
            </w:r>
          </w:p>
        </w:tc>
        <w:tc>
          <w:tcPr/>
          <w:p>
            <w:pPr>
              <w:pStyle w:val="Compact"/>
            </w:pPr>
            <w:r>
              <w:t xml:space="preserve">Межведомственный комитет по контролю исполнения смарт-контрактов ЦФА; автоматизированный контроль на стороне платформы.</w:t>
            </w:r>
          </w:p>
        </w:tc>
      </w:tr>
      <w:tr>
        <w:tc>
          <w:tcPr/>
          <w:p>
            <w:pPr>
              <w:pStyle w:val="Compact"/>
            </w:pPr>
            <w:r>
              <w:t xml:space="preserve">Повышение ликвидности и страхование объекта залога.</w:t>
            </w:r>
          </w:p>
        </w:tc>
        <w:tc>
          <w:tcPr/>
          <w:p>
            <w:pPr>
              <w:pStyle w:val="Compact"/>
            </w:pPr>
            <w:r>
              <w:t xml:space="preserve">Обязательное страхование объекта залога и самого ЦФА; страховой ЦФА на случай страхового события.</w:t>
            </w:r>
          </w:p>
        </w:tc>
      </w:tr>
      <w:tr>
        <w:tc>
          <w:tcPr/>
          <w:p>
            <w:pPr>
              <w:pStyle w:val="Compact"/>
            </w:pPr>
            <w:r>
              <w:t xml:space="preserve">Технологический риск (отказ инфраструктуры, кибератаки).</w:t>
            </w:r>
          </w:p>
        </w:tc>
        <w:tc>
          <w:tcPr/>
          <w:p>
            <w:pPr>
              <w:pStyle w:val="Compact"/>
            </w:pPr>
            <w:r>
              <w:t xml:space="preserve">Геораспределение, 4-й уровень ГОСТ Р 57580.1, статус КИИ, ГосСОПКА, СЗИ от НСД, ежегодный пентест.</w:t>
            </w:r>
          </w:p>
        </w:tc>
      </w:tr>
      <w:tr>
        <w:tc>
          <w:tcPr/>
          <w:p>
            <w:pPr>
              <w:pStyle w:val="Compact"/>
            </w:pPr>
            <w:r>
              <w:t xml:space="preserve">Правовой риск (поправки в 86-ФЗ и 259-ФЗ не приняты).</w:t>
            </w:r>
          </w:p>
        </w:tc>
        <w:tc>
          <w:tcPr/>
          <w:p>
            <w:pPr>
              <w:pStyle w:val="Compact"/>
            </w:pPr>
            <w:r>
              <w:t xml:space="preserve">Поэтапная стратегия: на первом этапе платформа работает в действующем правовом поле 259-ФЗ; пакет необходимых НПА вносится параллельно.</w:t>
            </w:r>
          </w:p>
        </w:tc>
      </w:tr>
    </w:tbl>
    <w:p>
      <w:r>
        <w:pict>
          <v:rect style="width:0;height:1.5pt" o:hralign="center" o:hrstd="t" o:hr="t"/>
        </w:pict>
      </w:r>
    </w:p>
    <w:bookmarkEnd w:id="27"/>
    <w:bookmarkStart w:id="28" w:name="управляющая-логика-и-роль-банка-россии"/>
    <w:p>
      <w:pPr>
        <w:pStyle w:val="Heading2"/>
      </w:pPr>
      <w:r>
        <w:t xml:space="preserve">10. Управляющая логика и роль Банка России</w:t>
      </w:r>
    </w:p>
    <w:p>
      <w:pPr>
        <w:pStyle w:val="FirstParagraph"/>
      </w:pPr>
      <w:r>
        <w:t xml:space="preserve">Банк России выступает</w:t>
      </w:r>
      <w:r>
        <w:t xml:space="preserve"> </w:t>
      </w:r>
      <w:r>
        <w:rPr>
          <w:b/>
          <w:bCs/>
        </w:rPr>
        <w:t xml:space="preserve">центральным узлом доверия</w:t>
      </w:r>
      <w:r>
        <w:t xml:space="preserve"> </w:t>
      </w:r>
      <w:r>
        <w:t xml:space="preserve">в системе:</w:t>
      </w:r>
      <w:r>
        <w:t xml:space="preserve"> </w:t>
      </w:r>
      <w:r>
        <w:t xml:space="preserve">- ведёт реестр операторов ЦП РСФСР и осуществляет надзор за платформой;</w:t>
      </w:r>
      <w:r>
        <w:t xml:space="preserve"> </w:t>
      </w:r>
      <w:r>
        <w:t xml:space="preserve">- управляет всеми эскроу-счетами целевой эмиссии;</w:t>
      </w:r>
      <w:r>
        <w:t xml:space="preserve"> </w:t>
      </w:r>
      <w:r>
        <w:t xml:space="preserve">- утверждает методику оценки и страхования залоговых активов;</w:t>
      </w:r>
      <w:r>
        <w:t xml:space="preserve"> </w:t>
      </w:r>
      <w:r>
        <w:t xml:space="preserve">- управляет принятыми в обеспечение ЦФА;</w:t>
      </w:r>
      <w:r>
        <w:t xml:space="preserve"> </w:t>
      </w:r>
      <w:r>
        <w:t xml:space="preserve">- осуществляет дополнительную эмиссию строго под обеспечение;</w:t>
      </w:r>
      <w:r>
        <w:t xml:space="preserve"> </w:t>
      </w:r>
      <w:r>
        <w:t xml:space="preserve">- контролирует соответствие операций требованиям ГОСТ Р 57580.1 и иным нормативам;</w:t>
      </w:r>
      <w:r>
        <w:t xml:space="preserve"> </w:t>
      </w:r>
      <w:r>
        <w:t xml:space="preserve">- участвует в межведомственном комитете по контролю смарт-контрактов.</w:t>
      </w:r>
    </w:p>
    <w:p>
      <w:pPr>
        <w:pStyle w:val="BodyText"/>
      </w:pPr>
      <w:r>
        <w:t xml:space="preserve">Платформа не подменяет собой функции Банка России и Федерального казначейства, а</w:t>
      </w:r>
      <w:r>
        <w:t xml:space="preserve"> </w:t>
      </w:r>
      <w:r>
        <w:rPr>
          <w:b/>
          <w:bCs/>
        </w:rPr>
        <w:t xml:space="preserve">обслуживает их</w:t>
      </w:r>
      <w:r>
        <w:t xml:space="preserve">, обеспечивая технологическую и операционную инфраструктуру.</w:t>
      </w:r>
    </w:p>
    <w:p>
      <w:r>
        <w:pict>
          <v:rect style="width:0;height:1.5pt" o:hralign="center" o:hrstd="t" o:hr="t"/>
        </w:pict>
      </w:r>
    </w:p>
    <w:bookmarkEnd w:id="28"/>
    <w:bookmarkStart w:id="29" w:name="соответствие-приоритетам-государства"/>
    <w:p>
      <w:pPr>
        <w:pStyle w:val="Heading2"/>
      </w:pPr>
      <w:r>
        <w:t xml:space="preserve">11. Соответствие приоритетам государства</w:t>
      </w:r>
    </w:p>
    <w:p>
      <w:pPr>
        <w:pStyle w:val="FirstParagraph"/>
      </w:pPr>
      <w:r>
        <w:t xml:space="preserve">Проект напрямую отвечает следующим приоритетам:</w:t>
      </w:r>
    </w:p>
    <w:p>
      <w:pPr>
        <w:pStyle w:val="Compact"/>
        <w:numPr>
          <w:ilvl w:val="0"/>
          <w:numId w:val="1009"/>
        </w:numPr>
      </w:pPr>
      <w:r>
        <w:t xml:space="preserve">Национальная цель «Цифровая трансформация» (Указ Президента Российской Федерации №309 от 07.05.2024 «О национальных целях развития Российской Федерации на период до 2030 года и на перспективу до 2036 года»).</w:t>
      </w:r>
    </w:p>
    <w:p>
      <w:pPr>
        <w:pStyle w:val="Compact"/>
        <w:numPr>
          <w:ilvl w:val="0"/>
          <w:numId w:val="1009"/>
        </w:numPr>
      </w:pPr>
      <w:r>
        <w:t xml:space="preserve">Стратегия развития финансового рынка Российской Федерации до 2030 года.</w:t>
      </w:r>
    </w:p>
    <w:p>
      <w:pPr>
        <w:pStyle w:val="Compact"/>
        <w:numPr>
          <w:ilvl w:val="0"/>
          <w:numId w:val="1009"/>
        </w:numPr>
      </w:pPr>
      <w:r>
        <w:t xml:space="preserve">Основные направления развития финансового рынка Российской Федерации на текущий и плановый периоды (Банк России).</w:t>
      </w:r>
    </w:p>
    <w:p>
      <w:pPr>
        <w:pStyle w:val="Compact"/>
        <w:numPr>
          <w:ilvl w:val="0"/>
          <w:numId w:val="1009"/>
        </w:numPr>
      </w:pPr>
      <w:r>
        <w:t xml:space="preserve">Стратегия научно-технологического развития Российской Федерации.</w:t>
      </w:r>
    </w:p>
    <w:p>
      <w:pPr>
        <w:pStyle w:val="Compact"/>
        <w:numPr>
          <w:ilvl w:val="0"/>
          <w:numId w:val="1009"/>
        </w:numPr>
      </w:pPr>
      <w:r>
        <w:t xml:space="preserve">Целевая программа развития искусственного интеллекта и цифровой экономики.</w:t>
      </w:r>
    </w:p>
    <w:p>
      <w:r>
        <w:pict>
          <v:rect style="width:0;height:1.5pt" o:hralign="center" o:hrstd="t" o:hr="t"/>
        </w:pict>
      </w:r>
    </w:p>
    <w:bookmarkEnd w:id="29"/>
    <w:bookmarkStart w:id="30" w:name="запрос-к-адресату"/>
    <w:p>
      <w:pPr>
        <w:pStyle w:val="Heading2"/>
      </w:pPr>
      <w:r>
        <w:t xml:space="preserve">12. Запрос к адресату</w:t>
      </w:r>
    </w:p>
    <w:p>
      <w:pPr>
        <w:pStyle w:val="FirstParagraph"/>
      </w:pPr>
      <w:r>
        <w:t xml:space="preserve">Для перехода к следующему этапу реализации проекта автор и команда инициативы просят:</w:t>
      </w:r>
    </w:p>
    <w:p>
      <w:pPr>
        <w:pStyle w:val="Compact"/>
        <w:numPr>
          <w:ilvl w:val="0"/>
          <w:numId w:val="1010"/>
        </w:numPr>
      </w:pPr>
      <w:r>
        <w:rPr>
          <w:b/>
          <w:bCs/>
        </w:rPr>
        <w:t xml:space="preserve">Банк России</w:t>
      </w:r>
      <w:r>
        <w:t xml:space="preserve"> </w:t>
      </w:r>
      <w:r>
        <w:t xml:space="preserve">— провести экспертную оценку концепции; определить ответственный профильный департамент; сформировать совместную рабочую группу для проработки регуляторной модели и условий лицензирования оператора платформы.</w:t>
      </w:r>
    </w:p>
    <w:p>
      <w:pPr>
        <w:pStyle w:val="Compact"/>
        <w:numPr>
          <w:ilvl w:val="0"/>
          <w:numId w:val="1010"/>
        </w:numPr>
      </w:pPr>
      <w:r>
        <w:rPr>
          <w:b/>
          <w:bCs/>
        </w:rPr>
        <w:t xml:space="preserve">Министерство финансов Российской Федерации</w:t>
      </w:r>
      <w:r>
        <w:t xml:space="preserve"> </w:t>
      </w:r>
      <w:r>
        <w:t xml:space="preserve">— рассмотреть концепцию с точки зрения её совместимости со Стратегией развития финансового рынка и Бюджетным кодексом, выделить эксперта в рабочую группу.</w:t>
      </w:r>
    </w:p>
    <w:p>
      <w:pPr>
        <w:pStyle w:val="Compact"/>
        <w:numPr>
          <w:ilvl w:val="0"/>
          <w:numId w:val="1010"/>
        </w:numPr>
      </w:pPr>
      <w:r>
        <w:rPr>
          <w:b/>
          <w:bCs/>
        </w:rPr>
        <w:t xml:space="preserve">Министерство цифрового развития, связи и массовых коммуникаций Российской Федерации</w:t>
      </w:r>
      <w:r>
        <w:t xml:space="preserve"> </w:t>
      </w:r>
      <w:r>
        <w:t xml:space="preserve">— обеспечить интеграцию с Государственными информационными системами и сертификацию платформы в реестре российского ПО.</w:t>
      </w:r>
    </w:p>
    <w:p>
      <w:pPr>
        <w:pStyle w:val="Compact"/>
        <w:numPr>
          <w:ilvl w:val="0"/>
          <w:numId w:val="1010"/>
        </w:numPr>
      </w:pPr>
      <w:r>
        <w:rPr>
          <w:b/>
          <w:bCs/>
        </w:rPr>
        <w:t xml:space="preserve">Федеральное казначейство</w:t>
      </w:r>
      <w:r>
        <w:t xml:space="preserve"> </w:t>
      </w:r>
      <w:r>
        <w:t xml:space="preserve">— определить процедуру приёма средств целевой эмиссии и их распределения государственным заказчикам.</w:t>
      </w:r>
    </w:p>
    <w:p>
      <w:pPr>
        <w:pStyle w:val="Compact"/>
        <w:numPr>
          <w:ilvl w:val="0"/>
          <w:numId w:val="1010"/>
        </w:numPr>
      </w:pPr>
      <w:r>
        <w:rPr>
          <w:b/>
          <w:bCs/>
        </w:rPr>
        <w:t xml:space="preserve">Аппарат Правительства Российской Федерации</w:t>
      </w:r>
      <w:r>
        <w:t xml:space="preserve"> </w:t>
      </w:r>
      <w:r>
        <w:t xml:space="preserve">— назначить координатора межведомственной рабочей группы.</w:t>
      </w:r>
    </w:p>
    <w:p>
      <w:r>
        <w:pict>
          <v:rect style="width:0;height:1.5pt" o:hralign="center" o:hrstd="t" o:hr="t"/>
        </w:pict>
      </w:r>
    </w:p>
    <w:bookmarkEnd w:id="30"/>
    <w:bookmarkStart w:id="31" w:name="контактная-информация"/>
    <w:p>
      <w:pPr>
        <w:pStyle w:val="Heading2"/>
      </w:pPr>
      <w:r>
        <w:t xml:space="preserve">13. Контактная информация</w:t>
      </w:r>
    </w:p>
    <w:p>
      <w:pPr>
        <w:pStyle w:val="FirstParagraph"/>
      </w:pPr>
      <w:r>
        <w:rPr>
          <w:b/>
          <w:bCs/>
        </w:rPr>
        <w:t xml:space="preserve">Автор и правообладатель концепции:</w:t>
      </w:r>
      <w:r>
        <w:t xml:space="preserve"> </w:t>
      </w:r>
      <w:r>
        <w:t xml:space="preserve">Кагиров Абдул-Хаким Ахмадович</w:t>
      </w:r>
      <w:r>
        <w:t xml:space="preserve"> </w:t>
      </w:r>
      <w:r>
        <w:t xml:space="preserve">Свидетельство о депонировании №4011265 от 19.12.2024 (ireg.pro)</w:t>
      </w:r>
      <w:r>
        <w:t xml:space="preserve"> </w:t>
      </w:r>
      <w:r>
        <w:t xml:space="preserve">Хеш ГОСТ-Р 34.11-2012:</w:t>
      </w:r>
      <w:r>
        <w:t xml:space="preserve"> </w:t>
      </w:r>
      <w:r>
        <w:rPr>
          <w:rStyle w:val="VerbatimChar"/>
        </w:rPr>
        <w:t xml:space="preserve">a7d40971cbb5443e0f3d037ff054080dfb0064b59832cf1b89386078bf3de373</w:t>
      </w:r>
    </w:p>
    <w:p>
      <w:r>
        <w:pict>
          <v:rect style="width:0;height:1.5pt" o:hralign="center" o:hrstd="t" o:hr="t"/>
        </w:pict>
      </w:r>
    </w:p>
    <w:p>
      <w:pPr>
        <w:pStyle w:val="FirstParagraph"/>
      </w:pPr>
      <w:r>
        <w:rPr>
          <w:i/>
          <w:iCs/>
        </w:rPr>
        <w:t xml:space="preserve">Доклад подготовлен на основании авторской концепции реализации цифровой платформы-оператора Р.С.Ф.С.Р. и сопутствующей презентации проекта. Все ключевые показатели и положения соответствуют исходным материалам автора.</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2026-05-23T23:21:28Z</dcterms:created>
  <dcterms:modified xsi:type="dcterms:W3CDTF">2026-05-23T23:21:28Z</dcterms:modified>
</cp:coreProperties>
</file>

<file path=docProps/custom.xml><?xml version="1.0" encoding="utf-8"?>
<Properties xmlns="http://schemas.openxmlformats.org/officeDocument/2006/custom-properties" xmlns:vt="http://schemas.openxmlformats.org/officeDocument/2006/docPropsVTypes"/>
</file>