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6c0821b79446f4f3f1e42bdbe47134f25ba666"/>
    <w:p>
      <w:pPr>
        <w:pStyle w:val="Heading1"/>
      </w:pPr>
      <w:r>
        <w:t xml:space="preserve">Техническое задание на разработку мобильного приложения</w:t>
      </w:r>
    </w:p>
    <w:bookmarkStart w:id="9" w:name="X757a7be28bea3c18417d281e14e42d7a12a9241"/>
    <w:p>
      <w:pPr>
        <w:pStyle w:val="Heading2"/>
      </w:pPr>
      <w:r>
        <w:t xml:space="preserve">ЦП РСФСР — Российский Сервис Финансирования Социального Развития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РСФСР.МП.01.ТЗ</w:t>
      </w:r>
      <w:r>
        <w:t xml:space="preserve"> </w:t>
      </w:r>
      <w:r>
        <w:rPr>
          <w:b/>
          <w:bCs/>
        </w:rPr>
        <w:t xml:space="preserve">Стандарт:</w:t>
      </w:r>
      <w:r>
        <w:t xml:space="preserve"> </w:t>
      </w:r>
      <w:r>
        <w:t xml:space="preserve">ГОСТ 19.201-78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2025 год</w:t>
      </w:r>
      <w:r>
        <w:t xml:space="preserve"> </w:t>
      </w:r>
      <w:r>
        <w:rPr>
          <w:b/>
          <w:bCs/>
        </w:rPr>
        <w:t xml:space="preserve">Правообладатель:</w:t>
      </w:r>
      <w:r>
        <w:t xml:space="preserve"> </w:t>
      </w:r>
      <w:r>
        <w:t xml:space="preserve">Кагиров Абдул-Хаким Ахмадович (Свидетельство о депонировании №4011265 от 19.12.2024)</w:t>
      </w:r>
    </w:p>
    <w:p>
      <w:r>
        <w:pict>
          <v:rect style="width:0;height:1.5pt" o:hralign="center" o:hrstd="t" o:hr="t"/>
        </w:pict>
      </w:r>
    </w:p>
    <w:bookmarkEnd w:id="9"/>
    <w:bookmarkStart w:id="13" w:name="введение"/>
    <w:p>
      <w:pPr>
        <w:pStyle w:val="Heading2"/>
      </w:pPr>
      <w:r>
        <w:t xml:space="preserve">1. Введение</w:t>
      </w:r>
    </w:p>
    <w:bookmarkStart w:id="10" w:name="наименование-программы"/>
    <w:p>
      <w:pPr>
        <w:pStyle w:val="Heading3"/>
      </w:pPr>
      <w:r>
        <w:t xml:space="preserve">1.1. Наименование программы</w:t>
      </w:r>
    </w:p>
    <w:p>
      <w:pPr>
        <w:pStyle w:val="FirstParagraph"/>
      </w:pPr>
      <w:r>
        <w:t xml:space="preserve">Полное: «Цифровая Платформа РСФСР — мобильное приложение залогодателя».</w:t>
      </w:r>
      <w:r>
        <w:t xml:space="preserve"> </w:t>
      </w:r>
      <w:r>
        <w:t xml:space="preserve">Условное обозначение: РСФСР.МП.</w:t>
      </w:r>
    </w:p>
    <w:bookmarkEnd w:id="10"/>
    <w:bookmarkStart w:id="11" w:name="область-применения"/>
    <w:p>
      <w:pPr>
        <w:pStyle w:val="Heading3"/>
      </w:pPr>
      <w:r>
        <w:t xml:space="preserve">1.2. Область применения</w:t>
      </w:r>
    </w:p>
    <w:p>
      <w:pPr>
        <w:pStyle w:val="FirstParagraph"/>
      </w:pPr>
      <w:r>
        <w:t xml:space="preserve">Мобильное приложение является клиентским ПО Цифровой Платформы РСФСР — оператора выпуска цифровых финансовых активов (ЦФА) под залог имущества физических и юридических лиц с целевой эмиссией Банка России на национальные и инфраструктурные проекты Российской Федерации.</w:t>
      </w:r>
    </w:p>
    <w:bookmarkEnd w:id="11"/>
    <w:bookmarkStart w:id="12" w:name="программа-предназначена-для"/>
    <w:p>
      <w:pPr>
        <w:pStyle w:val="Heading3"/>
      </w:pPr>
      <w:r>
        <w:t xml:space="preserve">1.3. Программа предназначена для</w:t>
      </w:r>
    </w:p>
    <w:p>
      <w:pPr>
        <w:pStyle w:val="Compact"/>
        <w:numPr>
          <w:ilvl w:val="0"/>
          <w:numId w:val="1001"/>
        </w:numPr>
      </w:pPr>
      <w:r>
        <w:t xml:space="preserve">регистрации и идентификации залогодателей через ЕСИА и ЕБС;</w:t>
      </w:r>
    </w:p>
    <w:p>
      <w:pPr>
        <w:pStyle w:val="Compact"/>
        <w:numPr>
          <w:ilvl w:val="0"/>
          <w:numId w:val="1001"/>
        </w:numPr>
      </w:pPr>
      <w:r>
        <w:t xml:space="preserve">подачи на залог имущества (недвижимости, транспорта, ИС, ценных бумаг);</w:t>
      </w:r>
    </w:p>
    <w:p>
      <w:pPr>
        <w:pStyle w:val="Compact"/>
        <w:numPr>
          <w:ilvl w:val="0"/>
          <w:numId w:val="1001"/>
        </w:numPr>
      </w:pPr>
      <w:r>
        <w:t xml:space="preserve">подписания смарт-контрактов выпуска ЦФА с использованием усиленной квалифицированной электронной подписи;</w:t>
      </w:r>
    </w:p>
    <w:p>
      <w:pPr>
        <w:pStyle w:val="Compact"/>
        <w:numPr>
          <w:ilvl w:val="0"/>
          <w:numId w:val="1001"/>
        </w:numPr>
      </w:pPr>
      <w:r>
        <w:t xml:space="preserve">управления портфелем ЦФА и получения дохода от размещения;</w:t>
      </w:r>
    </w:p>
    <w:p>
      <w:pPr>
        <w:pStyle w:val="Compact"/>
        <w:numPr>
          <w:ilvl w:val="0"/>
          <w:numId w:val="1001"/>
        </w:numPr>
      </w:pPr>
      <w:r>
        <w:t xml:space="preserve">получения уведомлений о ключевых событиях смарт-контракта (мена ЦФА, выплаты, страховые случаи).</w:t>
      </w:r>
    </w:p>
    <w:bookmarkEnd w:id="12"/>
    <w:bookmarkEnd w:id="13"/>
    <w:bookmarkStart w:id="14" w:name="основание-для-разработки"/>
    <w:p>
      <w:pPr>
        <w:pStyle w:val="Heading2"/>
      </w:pPr>
      <w:r>
        <w:t xml:space="preserve">2. Основание для разработки</w:t>
      </w:r>
    </w:p>
    <w:p>
      <w:pPr>
        <w:pStyle w:val="Compact"/>
        <w:numPr>
          <w:ilvl w:val="0"/>
          <w:numId w:val="1002"/>
        </w:numPr>
      </w:pPr>
      <w:r>
        <w:t xml:space="preserve">Концепция автора, депонированная под №4011265 от 19.12.2024.</w:t>
      </w:r>
    </w:p>
    <w:p>
      <w:pPr>
        <w:pStyle w:val="Compact"/>
        <w:numPr>
          <w:ilvl w:val="0"/>
          <w:numId w:val="1002"/>
        </w:numPr>
      </w:pPr>
      <w:r>
        <w:t xml:space="preserve">Федеральный закон №259-ФЗ от 31.07.2020 «О цифровых финансовых активах».</w:t>
      </w:r>
    </w:p>
    <w:p>
      <w:pPr>
        <w:pStyle w:val="Compact"/>
        <w:numPr>
          <w:ilvl w:val="0"/>
          <w:numId w:val="1002"/>
        </w:numPr>
      </w:pPr>
      <w:r>
        <w:t xml:space="preserve">Положение Банка России №779-П от 16.11.2021.</w:t>
      </w:r>
    </w:p>
    <w:p>
      <w:pPr>
        <w:pStyle w:val="Compact"/>
        <w:numPr>
          <w:ilvl w:val="0"/>
          <w:numId w:val="1002"/>
        </w:numPr>
      </w:pPr>
      <w:r>
        <w:t xml:space="preserve">Указ Президента Российской Федерации №166 от 30.03.2022 (импортозамещение).</w:t>
      </w:r>
    </w:p>
    <w:bookmarkEnd w:id="14"/>
    <w:bookmarkStart w:id="17" w:name="назначение-разработки"/>
    <w:p>
      <w:pPr>
        <w:pStyle w:val="Heading2"/>
      </w:pPr>
      <w:r>
        <w:t xml:space="preserve">3. Назначение разработки</w:t>
      </w:r>
    </w:p>
    <w:bookmarkStart w:id="15" w:name="функциональное-назначение"/>
    <w:p>
      <w:pPr>
        <w:pStyle w:val="Heading3"/>
      </w:pPr>
      <w:r>
        <w:t xml:space="preserve">3.1. Функциональное назначение</w:t>
      </w:r>
    </w:p>
    <w:p>
      <w:pPr>
        <w:pStyle w:val="FirstParagraph"/>
      </w:pPr>
      <w:r>
        <w:t xml:space="preserve">Обеспечить мобильный доступ собственника актива ко всем функциям платформы ЦП РСФСР с уровнем доступности 99,99% и временем отклика бизнес-операций не более 200 мс (P95).</w:t>
      </w:r>
    </w:p>
    <w:bookmarkEnd w:id="15"/>
    <w:bookmarkStart w:id="16" w:name="эксплуатационное-назначение"/>
    <w:p>
      <w:pPr>
        <w:pStyle w:val="Heading3"/>
      </w:pPr>
      <w:r>
        <w:t xml:space="preserve">3.2. Эксплуатационное назначение</w:t>
      </w:r>
    </w:p>
    <w:p>
      <w:pPr>
        <w:pStyle w:val="FirstParagraph"/>
      </w:pPr>
      <w:r>
        <w:t xml:space="preserve">Эксплуатируется на устройствах под управлением:</w:t>
      </w:r>
      <w:r>
        <w:t xml:space="preserve"> </w:t>
      </w:r>
      <w:r>
        <w:t xml:space="preserve">- iOS 15 и выше;</w:t>
      </w:r>
      <w:r>
        <w:t xml:space="preserve"> </w:t>
      </w:r>
      <w:r>
        <w:t xml:space="preserve">- Android 9 (API 28) и выше;</w:t>
      </w:r>
      <w:r>
        <w:t xml:space="preserve"> </w:t>
      </w:r>
      <w:r>
        <w:t xml:space="preserve">- Windows 10 (1809) и выше;</w:t>
      </w:r>
      <w:r>
        <w:t xml:space="preserve"> </w:t>
      </w:r>
      <w:r>
        <w:t xml:space="preserve">- веб-браузерах с поддержкой Service Workers и WebAssembly (PWA-режим).</w:t>
      </w:r>
    </w:p>
    <w:bookmarkEnd w:id="16"/>
    <w:bookmarkEnd w:id="17"/>
    <w:bookmarkStart w:id="37" w:name="требования-к-программе"/>
    <w:p>
      <w:pPr>
        <w:pStyle w:val="Heading2"/>
      </w:pPr>
      <w:r>
        <w:t xml:space="preserve">4. Требования к программе</w:t>
      </w:r>
    </w:p>
    <w:bookmarkStart w:id="26" w:name="функциональные-требования"/>
    <w:p>
      <w:pPr>
        <w:pStyle w:val="Heading3"/>
      </w:pPr>
      <w:r>
        <w:t xml:space="preserve">4.1. Функциональные требования</w:t>
      </w:r>
    </w:p>
    <w:bookmarkStart w:id="18" w:name="идентификация-и-аутентификация"/>
    <w:p>
      <w:pPr>
        <w:pStyle w:val="Heading4"/>
      </w:pPr>
      <w:r>
        <w:t xml:space="preserve">4.1.1. Идентификация и аутентификация</w:t>
      </w:r>
    </w:p>
    <w:p>
      <w:pPr>
        <w:pStyle w:val="Compact"/>
        <w:numPr>
          <w:ilvl w:val="0"/>
          <w:numId w:val="1003"/>
        </w:numPr>
      </w:pPr>
      <w:r>
        <w:t xml:space="preserve">Авторизация через Единую систему идентификации и аутентификации (ЕСИА) по протоколу OpenID Connect.</w:t>
      </w:r>
    </w:p>
    <w:p>
      <w:pPr>
        <w:pStyle w:val="Compact"/>
        <w:numPr>
          <w:ilvl w:val="0"/>
          <w:numId w:val="1003"/>
        </w:numPr>
      </w:pPr>
      <w:r>
        <w:t xml:space="preserve">Авторизация через Единую биометрическую систему (Положение Банка России №482-П) — лицо и/или голос.</w:t>
      </w:r>
    </w:p>
    <w:p>
      <w:pPr>
        <w:pStyle w:val="Compact"/>
        <w:numPr>
          <w:ilvl w:val="0"/>
          <w:numId w:val="1003"/>
        </w:numPr>
      </w:pPr>
      <w:r>
        <w:t xml:space="preserve">Локальная аутентификация по биометрии устройства (Face ID, Touch ID, Windows Hello) или PIN-коду.</w:t>
      </w:r>
    </w:p>
    <w:p>
      <w:pPr>
        <w:pStyle w:val="Compact"/>
        <w:numPr>
          <w:ilvl w:val="0"/>
          <w:numId w:val="1003"/>
        </w:numPr>
      </w:pPr>
      <w:r>
        <w:t xml:space="preserve">Двухфакторная аутентификация для критичных операций (SMS-код + биометрия).</w:t>
      </w:r>
    </w:p>
    <w:bookmarkEnd w:id="18"/>
    <w:bookmarkStart w:id="19" w:name="регистрация-залогодателя-kyc"/>
    <w:p>
      <w:pPr>
        <w:pStyle w:val="Heading4"/>
      </w:pPr>
      <w:r>
        <w:t xml:space="preserve">4.1.2. Регистрация залогодателя (KYC)</w:t>
      </w:r>
    </w:p>
    <w:p>
      <w:pPr>
        <w:pStyle w:val="Compact"/>
        <w:numPr>
          <w:ilvl w:val="0"/>
          <w:numId w:val="1004"/>
        </w:numPr>
      </w:pPr>
      <w:r>
        <w:t xml:space="preserve">Подгрузка персональных данных из подтверждённой учётной записи Госуслуг.</w:t>
      </w:r>
    </w:p>
    <w:p>
      <w:pPr>
        <w:pStyle w:val="Compact"/>
        <w:numPr>
          <w:ilvl w:val="0"/>
          <w:numId w:val="1004"/>
        </w:numPr>
      </w:pPr>
      <w:r>
        <w:t xml:space="preserve">Проверка по реестрам ПОД/ФТ (Федеральный закон №115-ФЗ).</w:t>
      </w:r>
    </w:p>
    <w:p>
      <w:pPr>
        <w:pStyle w:val="Compact"/>
        <w:numPr>
          <w:ilvl w:val="0"/>
          <w:numId w:val="1004"/>
        </w:numPr>
      </w:pPr>
      <w:r>
        <w:t xml:space="preserve">Подтверждение телефона и email.</w:t>
      </w:r>
    </w:p>
    <w:p>
      <w:pPr>
        <w:pStyle w:val="Compact"/>
        <w:numPr>
          <w:ilvl w:val="0"/>
          <w:numId w:val="1004"/>
        </w:numPr>
      </w:pPr>
      <w:r>
        <w:t xml:space="preserve">Привязка биометрии для подписания операций.</w:t>
      </w:r>
    </w:p>
    <w:bookmarkEnd w:id="19"/>
    <w:bookmarkStart w:id="20" w:name="управление-активами"/>
    <w:p>
      <w:pPr>
        <w:pStyle w:val="Heading4"/>
      </w:pPr>
      <w:r>
        <w:t xml:space="preserve">4.1.3. Управление активами</w:t>
      </w:r>
    </w:p>
    <w:p>
      <w:pPr>
        <w:pStyle w:val="Compact"/>
        <w:numPr>
          <w:ilvl w:val="0"/>
          <w:numId w:val="1005"/>
        </w:numPr>
      </w:pPr>
      <w:r>
        <w:t xml:space="preserve">Подача актива на залог (4-шаговый wizard: тип → характеристики → документы → отправка на оценку).</w:t>
      </w:r>
    </w:p>
    <w:p>
      <w:pPr>
        <w:pStyle w:val="Compact"/>
        <w:numPr>
          <w:ilvl w:val="0"/>
          <w:numId w:val="1005"/>
        </w:numPr>
      </w:pPr>
      <w:r>
        <w:t xml:space="preserve">Автоматическая подгрузка характеристик из ЕГРН (Росреестр), реестра Роспатента, депозитарных систем.</w:t>
      </w:r>
    </w:p>
    <w:p>
      <w:pPr>
        <w:pStyle w:val="Compact"/>
        <w:numPr>
          <w:ilvl w:val="0"/>
          <w:numId w:val="1005"/>
        </w:numPr>
      </w:pPr>
      <w:r>
        <w:t xml:space="preserve">Просмотр списка собственных активов с фильтрацией.</w:t>
      </w:r>
    </w:p>
    <w:p>
      <w:pPr>
        <w:pStyle w:val="Compact"/>
        <w:numPr>
          <w:ilvl w:val="0"/>
          <w:numId w:val="1005"/>
        </w:numPr>
      </w:pPr>
      <w:r>
        <w:t xml:space="preserve">Карточка актива с историей операций, статусом обременения, страхованием.</w:t>
      </w:r>
    </w:p>
    <w:bookmarkEnd w:id="20"/>
    <w:bookmarkStart w:id="21" w:name="выпуск-и-обслуживание-цфа"/>
    <w:p>
      <w:pPr>
        <w:pStyle w:val="Heading4"/>
      </w:pPr>
      <w:r>
        <w:t xml:space="preserve">4.1.4. Выпуск и обслуживание ЦФА</w:t>
      </w:r>
    </w:p>
    <w:p>
      <w:pPr>
        <w:pStyle w:val="Compact"/>
        <w:numPr>
          <w:ilvl w:val="0"/>
          <w:numId w:val="1006"/>
        </w:numPr>
      </w:pPr>
      <w:r>
        <w:t xml:space="preserve">Конструктор смарт-контракта (срок, целевое назначение, ставка вознаграждения).</w:t>
      </w:r>
    </w:p>
    <w:p>
      <w:pPr>
        <w:pStyle w:val="Compact"/>
        <w:numPr>
          <w:ilvl w:val="0"/>
          <w:numId w:val="1006"/>
        </w:numPr>
      </w:pPr>
      <w:r>
        <w:t xml:space="preserve">Подписание усиленной квалифицированной электронной подписью (ГОСТ Р 34.10-2012).</w:t>
      </w:r>
    </w:p>
    <w:p>
      <w:pPr>
        <w:pStyle w:val="Compact"/>
        <w:numPr>
          <w:ilvl w:val="0"/>
          <w:numId w:val="1006"/>
        </w:numPr>
      </w:pPr>
      <w:r>
        <w:t xml:space="preserve">Подтверждение операции через SMS-код или биометрию ЕБС.</w:t>
      </w:r>
    </w:p>
    <w:p>
      <w:pPr>
        <w:pStyle w:val="Compact"/>
        <w:numPr>
          <w:ilvl w:val="0"/>
          <w:numId w:val="1006"/>
        </w:numPr>
      </w:pPr>
      <w:r>
        <w:t xml:space="preserve">Просмотр активных ЦФА, поступающих выплат, истории.</w:t>
      </w:r>
    </w:p>
    <w:bookmarkEnd w:id="21"/>
    <w:bookmarkStart w:id="22" w:name="доходы-и-история"/>
    <w:p>
      <w:pPr>
        <w:pStyle w:val="Heading4"/>
      </w:pPr>
      <w:r>
        <w:t xml:space="preserve">4.1.5. Доходы и история</w:t>
      </w:r>
    </w:p>
    <w:p>
      <w:pPr>
        <w:pStyle w:val="Compact"/>
        <w:numPr>
          <w:ilvl w:val="0"/>
          <w:numId w:val="1007"/>
        </w:numPr>
      </w:pPr>
      <w:r>
        <w:t xml:space="preserve">График помесячных поступлений за период.</w:t>
      </w:r>
    </w:p>
    <w:p>
      <w:pPr>
        <w:pStyle w:val="Compact"/>
        <w:numPr>
          <w:ilvl w:val="0"/>
          <w:numId w:val="1007"/>
        </w:numPr>
      </w:pPr>
      <w:r>
        <w:t xml:space="preserve">История всех операций (выпуск, выплаты, мена, страховые события).</w:t>
      </w:r>
    </w:p>
    <w:p>
      <w:pPr>
        <w:pStyle w:val="Compact"/>
        <w:numPr>
          <w:ilvl w:val="0"/>
          <w:numId w:val="1007"/>
        </w:numPr>
      </w:pPr>
      <w:r>
        <w:t xml:space="preserve">Налоговые справки (2-НДФЛ) — автогенерация и скачивание.</w:t>
      </w:r>
    </w:p>
    <w:p>
      <w:pPr>
        <w:pStyle w:val="Compact"/>
        <w:numPr>
          <w:ilvl w:val="0"/>
          <w:numId w:val="1007"/>
        </w:numPr>
      </w:pPr>
      <w:r>
        <w:t xml:space="preserve">Экспорт истории в PDF и Excel.</w:t>
      </w:r>
    </w:p>
    <w:bookmarkEnd w:id="22"/>
    <w:bookmarkStart w:id="23" w:name="уведомления"/>
    <w:p>
      <w:pPr>
        <w:pStyle w:val="Heading4"/>
      </w:pPr>
      <w:r>
        <w:t xml:space="preserve">4.1.6. Уведомления</w:t>
      </w:r>
    </w:p>
    <w:p>
      <w:pPr>
        <w:pStyle w:val="Compact"/>
        <w:numPr>
          <w:ilvl w:val="0"/>
          <w:numId w:val="1008"/>
        </w:numPr>
      </w:pPr>
      <w:r>
        <w:t xml:space="preserve">Push-уведомления о ключевых событиях.</w:t>
      </w:r>
    </w:p>
    <w:p>
      <w:pPr>
        <w:pStyle w:val="Compact"/>
        <w:numPr>
          <w:ilvl w:val="0"/>
          <w:numId w:val="1008"/>
        </w:numPr>
      </w:pPr>
      <w:r>
        <w:t xml:space="preserve">Центр уведомлений в приложении.</w:t>
      </w:r>
    </w:p>
    <w:p>
      <w:pPr>
        <w:pStyle w:val="Compact"/>
        <w:numPr>
          <w:ilvl w:val="0"/>
          <w:numId w:val="1008"/>
        </w:numPr>
      </w:pPr>
      <w:r>
        <w:t xml:space="preserve">Интеграция с Госуслугами для получения официальных уведомлений.</w:t>
      </w:r>
    </w:p>
    <w:bookmarkEnd w:id="23"/>
    <w:bookmarkStart w:id="24" w:name="профиль-и-настройки"/>
    <w:p>
      <w:pPr>
        <w:pStyle w:val="Heading4"/>
      </w:pPr>
      <w:r>
        <w:t xml:space="preserve">4.1.7. Профиль и настройки</w:t>
      </w:r>
    </w:p>
    <w:p>
      <w:pPr>
        <w:pStyle w:val="Compact"/>
        <w:numPr>
          <w:ilvl w:val="0"/>
          <w:numId w:val="1009"/>
        </w:numPr>
      </w:pPr>
      <w:r>
        <w:t xml:space="preserve">Управление контактными данными.</w:t>
      </w:r>
    </w:p>
    <w:p>
      <w:pPr>
        <w:pStyle w:val="Compact"/>
        <w:numPr>
          <w:ilvl w:val="0"/>
          <w:numId w:val="1009"/>
        </w:numPr>
      </w:pPr>
      <w:r>
        <w:t xml:space="preserve">Управление безопасностью (биометрия, PIN, двухфакторная аутентификация).</w:t>
      </w:r>
    </w:p>
    <w:p>
      <w:pPr>
        <w:pStyle w:val="Compact"/>
        <w:numPr>
          <w:ilvl w:val="0"/>
          <w:numId w:val="1009"/>
        </w:numPr>
      </w:pPr>
      <w:r>
        <w:t xml:space="preserve">Управление подписками на уведомления.</w:t>
      </w:r>
    </w:p>
    <w:p>
      <w:pPr>
        <w:pStyle w:val="Compact"/>
        <w:numPr>
          <w:ilvl w:val="0"/>
          <w:numId w:val="1009"/>
        </w:numPr>
      </w:pPr>
      <w:r>
        <w:t xml:space="preserve">Реквизиты для выплат.</w:t>
      </w:r>
    </w:p>
    <w:bookmarkEnd w:id="24"/>
    <w:bookmarkStart w:id="25" w:name="документы-и-поддержка"/>
    <w:p>
      <w:pPr>
        <w:pStyle w:val="Heading4"/>
      </w:pPr>
      <w:r>
        <w:t xml:space="preserve">4.1.8. Документы и поддержка</w:t>
      </w:r>
    </w:p>
    <w:p>
      <w:pPr>
        <w:pStyle w:val="Compact"/>
        <w:numPr>
          <w:ilvl w:val="0"/>
          <w:numId w:val="1010"/>
        </w:numPr>
      </w:pPr>
      <w:r>
        <w:t xml:space="preserve">Доступ к Правилам информационной системы (статья 6 №259-ФЗ).</w:t>
      </w:r>
    </w:p>
    <w:p>
      <w:pPr>
        <w:pStyle w:val="Compact"/>
        <w:numPr>
          <w:ilvl w:val="0"/>
          <w:numId w:val="1010"/>
        </w:numPr>
      </w:pPr>
      <w:r>
        <w:t xml:space="preserve">Доступ к проектной документации платформы.</w:t>
      </w:r>
    </w:p>
    <w:p>
      <w:pPr>
        <w:pStyle w:val="Compact"/>
        <w:numPr>
          <w:ilvl w:val="0"/>
          <w:numId w:val="1010"/>
        </w:numPr>
      </w:pPr>
      <w:r>
        <w:t xml:space="preserve">Чат с оператором поддержки.</w:t>
      </w:r>
    </w:p>
    <w:p>
      <w:pPr>
        <w:pStyle w:val="Compact"/>
        <w:numPr>
          <w:ilvl w:val="0"/>
          <w:numId w:val="1010"/>
        </w:numPr>
      </w:pPr>
      <w:r>
        <w:t xml:space="preserve">FAQ.</w:t>
      </w:r>
    </w:p>
    <w:bookmarkEnd w:id="25"/>
    <w:bookmarkEnd w:id="26"/>
    <w:bookmarkStart w:id="27" w:name="требования-к-надёжности"/>
    <w:p>
      <w:pPr>
        <w:pStyle w:val="Heading3"/>
      </w:pPr>
      <w:r>
        <w:t xml:space="preserve">4.2. Требования к надёжности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 приложения (онлайн)</w:t>
            </w:r>
          </w:p>
        </w:tc>
        <w:tc>
          <w:tcPr/>
          <w:p>
            <w:pPr>
              <w:pStyle w:val="Compact"/>
            </w:pPr>
            <w:r>
              <w:t xml:space="preserve">99,9%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Оффлайн-режим (просмотр кеша)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восстановления после сбоя</w:t>
            </w:r>
          </w:p>
        </w:tc>
        <w:tc>
          <w:tcPr/>
          <w:p>
            <w:pPr>
              <w:pStyle w:val="Compact"/>
            </w:pPr>
            <w:r>
              <w:t xml:space="preserve">≤ 5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Целостность данных</w:t>
            </w:r>
          </w:p>
        </w:tc>
        <w:tc>
          <w:tcPr/>
          <w:p>
            <w:pPr>
              <w:pStyle w:val="Compact"/>
            </w:pPr>
            <w:r>
              <w:t xml:space="preserve">контрольные суммы ГОСТ Р 34.11-2012</w:t>
            </w:r>
          </w:p>
        </w:tc>
      </w:tr>
    </w:tbl>
    <w:bookmarkEnd w:id="27"/>
    <w:bookmarkStart w:id="28" w:name="требования-к-информационной-безопасности"/>
    <w:p>
      <w:pPr>
        <w:pStyle w:val="Heading3"/>
      </w:pPr>
      <w:r>
        <w:t xml:space="preserve">4.3. Требования к информационной безопасности</w:t>
      </w:r>
    </w:p>
    <w:p>
      <w:pPr>
        <w:pStyle w:val="Compact"/>
        <w:numPr>
          <w:ilvl w:val="0"/>
          <w:numId w:val="1011"/>
        </w:numPr>
      </w:pPr>
      <w:r>
        <w:t xml:space="preserve">Локальное хранение чувствительных данных только в защищённых хранилищах: iOS Keychain, Android Keystore, Windows Credential Locker.</w:t>
      </w:r>
    </w:p>
    <w:p>
      <w:pPr>
        <w:pStyle w:val="Compact"/>
        <w:numPr>
          <w:ilvl w:val="0"/>
          <w:numId w:val="1011"/>
        </w:numPr>
      </w:pPr>
      <w:r>
        <w:t xml:space="preserve">Сетевое взаимодействие исключительно по TLS с применением сертификатов ГОСТ (КриптоПро TLS).</w:t>
      </w:r>
    </w:p>
    <w:p>
      <w:pPr>
        <w:pStyle w:val="Compact"/>
        <w:numPr>
          <w:ilvl w:val="0"/>
          <w:numId w:val="1011"/>
        </w:numPr>
      </w:pPr>
      <w:r>
        <w:t xml:space="preserve">Защита от компрометации: jailbreak/root detection, anti-debug, certificate pinning.</w:t>
      </w:r>
    </w:p>
    <w:p>
      <w:pPr>
        <w:pStyle w:val="Compact"/>
        <w:numPr>
          <w:ilvl w:val="0"/>
          <w:numId w:val="1011"/>
        </w:numPr>
      </w:pPr>
      <w:r>
        <w:t xml:space="preserve">Отсутствие хранения биометрических векторов на устройстве — только идентификаторы для верификации через ЕБС.</w:t>
      </w:r>
    </w:p>
    <w:p>
      <w:pPr>
        <w:pStyle w:val="Compact"/>
        <w:numPr>
          <w:ilvl w:val="0"/>
          <w:numId w:val="1011"/>
        </w:numPr>
      </w:pPr>
      <w:r>
        <w:t xml:space="preserve">Соответствие стандарту OWASP MASVS уровня L2 и выше.</w:t>
      </w:r>
    </w:p>
    <w:p>
      <w:pPr>
        <w:pStyle w:val="Compact"/>
        <w:numPr>
          <w:ilvl w:val="0"/>
          <w:numId w:val="1011"/>
        </w:numPr>
      </w:pPr>
      <w:r>
        <w:t xml:space="preserve">Соответствие требованиям Положения Банка России №683-П, Указания №6635-У.</w:t>
      </w:r>
    </w:p>
    <w:p>
      <w:pPr>
        <w:pStyle w:val="Compact"/>
        <w:numPr>
          <w:ilvl w:val="0"/>
          <w:numId w:val="1011"/>
        </w:numPr>
      </w:pPr>
      <w:r>
        <w:t xml:space="preserve">Категория КИИ — 1-я (наивысшая).</w:t>
      </w:r>
    </w:p>
    <w:bookmarkEnd w:id="28"/>
    <w:bookmarkStart w:id="29" w:name="требования-к-производительности"/>
    <w:p>
      <w:pPr>
        <w:pStyle w:val="Heading3"/>
      </w:pPr>
      <w:r>
        <w:t xml:space="preserve">4.4. Требования к производительности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холодного запуска (cold start)</w:t>
            </w:r>
          </w:p>
        </w:tc>
        <w:tc>
          <w:tcPr/>
          <w:p>
            <w:pPr>
              <w:pStyle w:val="Compact"/>
            </w:pPr>
            <w:r>
              <w:t xml:space="preserve">≤ 2 секунды на 4G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отклика интерфейса</w:t>
            </w:r>
          </w:p>
        </w:tc>
        <w:tc>
          <w:tcPr/>
          <w:p>
            <w:pPr>
              <w:pStyle w:val="Compact"/>
            </w:pPr>
            <w:r>
              <w:t xml:space="preserve">≤ 100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дистрибутива</w:t>
            </w:r>
          </w:p>
        </w:tc>
        <w:tc>
          <w:tcPr/>
          <w:p>
            <w:pPr>
              <w:pStyle w:val="Compact"/>
            </w:pPr>
            <w:r>
              <w:t xml:space="preserve">≤ 80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Потребление оперативной памяти</w:t>
            </w:r>
          </w:p>
        </w:tc>
        <w:tc>
          <w:tcPr/>
          <w:p>
            <w:pPr>
              <w:pStyle w:val="Compact"/>
            </w:pPr>
            <w:r>
              <w:t xml:space="preserve">≤ 300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Потребление энергии в фоновом режиме</w:t>
            </w:r>
          </w:p>
        </w:tc>
        <w:tc>
          <w:tcPr/>
          <w:p>
            <w:pPr>
              <w:pStyle w:val="Compact"/>
            </w:pPr>
            <w:r>
              <w:t xml:space="preserve">минимальное</w:t>
            </w:r>
          </w:p>
        </w:tc>
      </w:tr>
    </w:tbl>
    <w:bookmarkEnd w:id="29"/>
    <w:bookmarkStart w:id="30" w:name="требования-к-интерфейсу"/>
    <w:p>
      <w:pPr>
        <w:pStyle w:val="Heading3"/>
      </w:pPr>
      <w:r>
        <w:t xml:space="preserve">4.5. Требования к интерфейсу</w:t>
      </w:r>
    </w:p>
    <w:p>
      <w:pPr>
        <w:pStyle w:val="Compact"/>
        <w:numPr>
          <w:ilvl w:val="0"/>
          <w:numId w:val="1012"/>
        </w:numPr>
      </w:pPr>
      <w:r>
        <w:t xml:space="preserve">Соответствие требованиям WCAG 2.2 уровня AA (доступность).</w:t>
      </w:r>
    </w:p>
    <w:p>
      <w:pPr>
        <w:pStyle w:val="Compact"/>
        <w:numPr>
          <w:ilvl w:val="0"/>
          <w:numId w:val="1012"/>
        </w:numPr>
      </w:pPr>
      <w:r>
        <w:t xml:space="preserve">Поддержка темы оформления: светлая, тёмная, мягкая для длительного просмотра, контрастная для слабовидящих.</w:t>
      </w:r>
    </w:p>
    <w:p>
      <w:pPr>
        <w:pStyle w:val="Compact"/>
        <w:numPr>
          <w:ilvl w:val="0"/>
          <w:numId w:val="1012"/>
        </w:numPr>
      </w:pPr>
      <w:r>
        <w:t xml:space="preserve">Поддержка четырёх языков: русский (основной), английский, французский, арабский (с RTL-разметкой).</w:t>
      </w:r>
    </w:p>
    <w:p>
      <w:pPr>
        <w:pStyle w:val="Compact"/>
        <w:numPr>
          <w:ilvl w:val="0"/>
          <w:numId w:val="1012"/>
        </w:numPr>
      </w:pPr>
      <w:r>
        <w:t xml:space="preserve">Поддержка масштабирования шрифта.</w:t>
      </w:r>
    </w:p>
    <w:p>
      <w:pPr>
        <w:pStyle w:val="Compact"/>
        <w:numPr>
          <w:ilvl w:val="0"/>
          <w:numId w:val="1012"/>
        </w:numPr>
      </w:pPr>
      <w:r>
        <w:t xml:space="preserve">Поддержка голосовых вспомогательных технологий (VoiceOver, TalkBack, Narrator).</w:t>
      </w:r>
    </w:p>
    <w:p>
      <w:pPr>
        <w:pStyle w:val="Compact"/>
        <w:numPr>
          <w:ilvl w:val="0"/>
          <w:numId w:val="1012"/>
        </w:numPr>
      </w:pPr>
      <w:r>
        <w:t xml:space="preserve">Минимальный размер сенсорной зоны — 44 × 44 пикселя.</w:t>
      </w:r>
    </w:p>
    <w:bookmarkEnd w:id="30"/>
    <w:bookmarkStart w:id="33" w:name="Xcef2b9a4b06feb1c7fb357ba92dccca5931304d"/>
    <w:p>
      <w:pPr>
        <w:pStyle w:val="Heading3"/>
      </w:pPr>
      <w:r>
        <w:t xml:space="preserve">4.6. Требования к составу и параметрам технических средств</w:t>
      </w:r>
    </w:p>
    <w:bookmarkStart w:id="31" w:name="клиентские-устройства"/>
    <w:p>
      <w:pPr>
        <w:pStyle w:val="Heading4"/>
      </w:pPr>
      <w:r>
        <w:t xml:space="preserve">Клиентские устройства</w:t>
      </w:r>
    </w:p>
    <w:p>
      <w:pPr>
        <w:pStyle w:val="Compact"/>
        <w:numPr>
          <w:ilvl w:val="0"/>
          <w:numId w:val="1013"/>
        </w:numPr>
      </w:pPr>
      <w:r>
        <w:t xml:space="preserve">iOS: iPhone 8 и новее; iPad 5-го поколения и новее.</w:t>
      </w:r>
    </w:p>
    <w:p>
      <w:pPr>
        <w:pStyle w:val="Compact"/>
        <w:numPr>
          <w:ilvl w:val="0"/>
          <w:numId w:val="1013"/>
        </w:numPr>
      </w:pPr>
      <w:r>
        <w:t xml:space="preserve">Android: устройства с разрешением экрана от 360 × 640 пикселей, оперативной памятью от 3 ГБ.</w:t>
      </w:r>
    </w:p>
    <w:p>
      <w:pPr>
        <w:pStyle w:val="Compact"/>
        <w:numPr>
          <w:ilvl w:val="0"/>
          <w:numId w:val="1013"/>
        </w:numPr>
      </w:pPr>
      <w:r>
        <w:t xml:space="preserve">Windows: настольные и планшетные устройства с разрешением от 1280 × 720 пикселей.</w:t>
      </w:r>
    </w:p>
    <w:p>
      <w:pPr>
        <w:pStyle w:val="Compact"/>
        <w:numPr>
          <w:ilvl w:val="0"/>
          <w:numId w:val="1013"/>
        </w:numPr>
      </w:pPr>
      <w:r>
        <w:t xml:space="preserve">PWA: любые устройства с поддержкой Service Worker (Chrome 70+, Safari 13+, Edge 80+, Firefox 70+).</w:t>
      </w:r>
    </w:p>
    <w:bookmarkEnd w:id="31"/>
    <w:bookmarkStart w:id="32" w:name="сетевые-требования"/>
    <w:p>
      <w:pPr>
        <w:pStyle w:val="Heading4"/>
      </w:pPr>
      <w:r>
        <w:t xml:space="preserve">Сетевые требования</w:t>
      </w:r>
    </w:p>
    <w:p>
      <w:pPr>
        <w:pStyle w:val="Compact"/>
        <w:numPr>
          <w:ilvl w:val="0"/>
          <w:numId w:val="1014"/>
        </w:numPr>
      </w:pPr>
      <w:r>
        <w:t xml:space="preserve">Минимально: 4G LTE или Wi-Fi 80 МБит/с.</w:t>
      </w:r>
    </w:p>
    <w:p>
      <w:pPr>
        <w:pStyle w:val="Compact"/>
        <w:numPr>
          <w:ilvl w:val="0"/>
          <w:numId w:val="1014"/>
        </w:numPr>
      </w:pPr>
      <w:r>
        <w:t xml:space="preserve">Рекомендуемо: 5G или Wi-Fi 6.</w:t>
      </w:r>
    </w:p>
    <w:bookmarkEnd w:id="32"/>
    <w:bookmarkEnd w:id="33"/>
    <w:bookmarkStart w:id="34" w:name="Xf80f92c39180d562abee41936f4fa6cb5f371e5"/>
    <w:p>
      <w:pPr>
        <w:pStyle w:val="Heading3"/>
      </w:pPr>
      <w:r>
        <w:t xml:space="preserve">4.7. Требования к информационной и программной совместимости</w:t>
      </w:r>
    </w:p>
    <w:p>
      <w:pPr>
        <w:pStyle w:val="Compact"/>
        <w:numPr>
          <w:ilvl w:val="0"/>
          <w:numId w:val="1015"/>
        </w:numPr>
      </w:pPr>
      <w:r>
        <w:t xml:space="preserve">Реестр российского ПО (ПП РФ №1236) — приложение подлежит включению.</w:t>
      </w:r>
    </w:p>
    <w:p>
      <w:pPr>
        <w:pStyle w:val="Compact"/>
        <w:numPr>
          <w:ilvl w:val="0"/>
          <w:numId w:val="1015"/>
        </w:numPr>
      </w:pPr>
      <w:r>
        <w:t xml:space="preserve">Включение в каталог приложений RuStore.</w:t>
      </w:r>
    </w:p>
    <w:p>
      <w:pPr>
        <w:pStyle w:val="Compact"/>
        <w:numPr>
          <w:ilvl w:val="0"/>
          <w:numId w:val="1015"/>
        </w:numPr>
      </w:pPr>
      <w:r>
        <w:t xml:space="preserve">Возможность установки через App Store / Google Play / Microsoft Store при наличии регуляторных одобрений.</w:t>
      </w:r>
    </w:p>
    <w:p>
      <w:pPr>
        <w:pStyle w:val="Compact"/>
        <w:numPr>
          <w:ilvl w:val="0"/>
          <w:numId w:val="1015"/>
        </w:numPr>
      </w:pPr>
      <w:r>
        <w:t xml:space="preserve">Интеграция с ЕСИА (Постановление Правительства РФ №584).</w:t>
      </w:r>
    </w:p>
    <w:p>
      <w:pPr>
        <w:pStyle w:val="Compact"/>
        <w:numPr>
          <w:ilvl w:val="0"/>
          <w:numId w:val="1015"/>
        </w:numPr>
      </w:pPr>
      <w:r>
        <w:t xml:space="preserve">Интеграция с Единой биометрической системой (Положение Банка России №482-П).</w:t>
      </w:r>
    </w:p>
    <w:bookmarkEnd w:id="34"/>
    <w:bookmarkStart w:id="35" w:name="требования-к-маркировке-и-упаковке"/>
    <w:p>
      <w:pPr>
        <w:pStyle w:val="Heading3"/>
      </w:pPr>
      <w:r>
        <w:t xml:space="preserve">4.8. Требования к маркировке и упаковке</w:t>
      </w:r>
    </w:p>
    <w:p>
      <w:pPr>
        <w:pStyle w:val="FirstParagraph"/>
      </w:pPr>
      <w:r>
        <w:t xml:space="preserve">Не применимо (программное обеспечение).</w:t>
      </w:r>
    </w:p>
    <w:bookmarkEnd w:id="35"/>
    <w:bookmarkStart w:id="36" w:name="Xa629adfd2bd83ba8f24830a5abf57de0b5903d5"/>
    <w:p>
      <w:pPr>
        <w:pStyle w:val="Heading3"/>
      </w:pPr>
      <w:r>
        <w:t xml:space="preserve">4.9. Требования к транспортированию и хранению</w:t>
      </w:r>
    </w:p>
    <w:p>
      <w:pPr>
        <w:pStyle w:val="FirstParagraph"/>
      </w:pPr>
      <w:r>
        <w:t xml:space="preserve">Не применимо.</w:t>
      </w:r>
    </w:p>
    <w:bookmarkEnd w:id="36"/>
    <w:bookmarkEnd w:id="37"/>
    <w:bookmarkStart w:id="38" w:name="требования-к-программной-документации"/>
    <w:p>
      <w:pPr>
        <w:pStyle w:val="Heading2"/>
      </w:pPr>
      <w:r>
        <w:t xml:space="preserve">5. Требования к программной документации</w:t>
      </w:r>
    </w:p>
    <w:p>
      <w:pPr>
        <w:pStyle w:val="FirstParagraph"/>
      </w:pPr>
      <w:r>
        <w:t xml:space="preserve">В состав документации входят следующие документы:</w:t>
      </w:r>
      <w:r>
        <w:t xml:space="preserve"> </w:t>
      </w:r>
      <w:r>
        <w:t xml:space="preserve">- ТЗ на разработку (настоящий документ);</w:t>
      </w:r>
      <w:r>
        <w:t xml:space="preserve"> </w:t>
      </w:r>
      <w:r>
        <w:t xml:space="preserve">- Описание программы (РСФСР.МП.02);</w:t>
      </w:r>
      <w:r>
        <w:t xml:space="preserve"> </w:t>
      </w:r>
      <w:r>
        <w:t xml:space="preserve">- Описание применения (РСФСР.МП.03);</w:t>
      </w:r>
      <w:r>
        <w:t xml:space="preserve"> </w:t>
      </w:r>
      <w:r>
        <w:t xml:space="preserve">- Руководство пользователя (РСФСР.МП.04);</w:t>
      </w:r>
      <w:r>
        <w:t xml:space="preserve"> </w:t>
      </w:r>
      <w:r>
        <w:t xml:space="preserve">- Руководство по установке и администрированию (РСФСР.МП.05);</w:t>
      </w:r>
      <w:r>
        <w:t xml:space="preserve"> </w:t>
      </w:r>
      <w:r>
        <w:t xml:space="preserve">- Описание архитектуры (РСФСР.МП.06);</w:t>
      </w:r>
      <w:r>
        <w:t xml:space="preserve"> </w:t>
      </w:r>
      <w:r>
        <w:t xml:space="preserve">- Описание API и интеграций (РСФСР.МП.07);</w:t>
      </w:r>
      <w:r>
        <w:t xml:space="preserve"> </w:t>
      </w:r>
      <w:r>
        <w:t xml:space="preserve">- Модель данных (РСФСР.МП.08);</w:t>
      </w:r>
      <w:r>
        <w:t xml:space="preserve"> </w:t>
      </w:r>
      <w:r>
        <w:t xml:space="preserve">- Требования к среде эксплуатации (РСФСР.МП.09);</w:t>
      </w:r>
      <w:r>
        <w:t xml:space="preserve"> </w:t>
      </w:r>
      <w:r>
        <w:t xml:space="preserve">- Программа и методика испытаний (РСФСР.МП.10);</w:t>
      </w:r>
      <w:r>
        <w:t xml:space="preserve"> </w:t>
      </w:r>
      <w:r>
        <w:t xml:space="preserve">- Требования безопасности (РСФСР.МП.11);</w:t>
      </w:r>
      <w:r>
        <w:t xml:space="preserve"> </w:t>
      </w:r>
      <w:r>
        <w:t xml:space="preserve">- Спецификация программы (РСФСР.МП.12);</w:t>
      </w:r>
      <w:r>
        <w:t xml:space="preserve"> </w:t>
      </w:r>
      <w:r>
        <w:t xml:space="preserve">- Ведомость эксплуатационных документов (РСФСР.МП.13).</w:t>
      </w:r>
    </w:p>
    <w:bookmarkEnd w:id="38"/>
    <w:bookmarkStart w:id="39" w:name="технико-экономические-показатели"/>
    <w:p>
      <w:pPr>
        <w:pStyle w:val="Heading2"/>
      </w:pPr>
      <w:r>
        <w:t xml:space="preserve">6. Технико-экономические показатели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разработки MVP</w:t>
            </w:r>
          </w:p>
        </w:tc>
        <w:tc>
          <w:tcPr/>
          <w:p>
            <w:pPr>
              <w:pStyle w:val="Compact"/>
            </w:pPr>
            <w:r>
              <w:t xml:space="preserve">12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промышленного релиза</w:t>
            </w:r>
          </w:p>
        </w:tc>
        <w:tc>
          <w:tcPr/>
          <w:p>
            <w:pPr>
              <w:pStyle w:val="Compact"/>
            </w:pPr>
            <w:r>
              <w:t xml:space="preserve">18 месяцев (синхронно с платформой)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 разработки клиента (3 платформы)</w:t>
            </w:r>
          </w:p>
        </w:tc>
        <w:tc>
          <w:tcPr/>
          <w:p>
            <w:pPr>
              <w:pStyle w:val="Compact"/>
            </w:pPr>
            <w:r>
              <w:t xml:space="preserve">в составе CapEx платформы 850 млн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Целевая аудитория</w:t>
            </w:r>
          </w:p>
        </w:tc>
        <w:tc>
          <w:tcPr/>
          <w:p>
            <w:pPr>
              <w:pStyle w:val="Compact"/>
            </w:pPr>
            <w:r>
              <w:t xml:space="preserve">физические и юридические лица — собственники активов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Ожидаемое количество активных пользователей к году 5</w:t>
            </w:r>
          </w:p>
        </w:tc>
        <w:tc>
          <w:tcPr/>
          <w:p>
            <w:pPr>
              <w:pStyle w:val="Compact"/>
            </w:pPr>
            <w:r>
              <w:t xml:space="preserve">до 5 млн человек</w:t>
            </w:r>
          </w:p>
        </w:tc>
      </w:tr>
    </w:tbl>
    <w:bookmarkEnd w:id="39"/>
    <w:bookmarkStart w:id="40" w:name="стадии-и-этапы-разработки"/>
    <w:p>
      <w:pPr>
        <w:pStyle w:val="Heading2"/>
      </w:pPr>
      <w:r>
        <w:t xml:space="preserve">7. Стадии и этапы разработки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Результаты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 и проектирование</w:t>
            </w:r>
          </w:p>
        </w:tc>
        <w:tc>
          <w:tcPr/>
          <w:p>
            <w:pPr>
              <w:pStyle w:val="Compact"/>
            </w:pPr>
            <w:r>
              <w:t xml:space="preserve">мес. 1–3</w:t>
            </w:r>
          </w:p>
        </w:tc>
        <w:tc>
          <w:tcPr/>
          <w:p>
            <w:pPr>
              <w:pStyle w:val="Compact"/>
            </w:pPr>
            <w:r>
              <w:t xml:space="preserve">пакет КД, прототипы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 ядра</w:t>
            </w:r>
          </w:p>
        </w:tc>
        <w:tc>
          <w:tcPr/>
          <w:p>
            <w:pPr>
              <w:pStyle w:val="Compact"/>
            </w:pPr>
            <w:r>
              <w:t xml:space="preserve">мес. 4–9</w:t>
            </w:r>
          </w:p>
        </w:tc>
        <w:tc>
          <w:tcPr/>
          <w:p>
            <w:pPr>
              <w:pStyle w:val="Compact"/>
            </w:pPr>
            <w:r>
              <w:t xml:space="preserve">MVP iOS + Android (PWA уже доступна)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 Windows-клиента</w:t>
            </w:r>
          </w:p>
        </w:tc>
        <w:tc>
          <w:tcPr/>
          <w:p>
            <w:pPr>
              <w:pStyle w:val="Compact"/>
            </w:pPr>
            <w:r>
              <w:t xml:space="preserve">мес. 7–12</w:t>
            </w:r>
          </w:p>
        </w:tc>
        <w:tc>
          <w:tcPr/>
          <w:p>
            <w:pPr>
              <w:pStyle w:val="Compact"/>
            </w:pPr>
            <w:r>
              <w:t xml:space="preserve">релизная сборка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тестирование</w:t>
            </w:r>
          </w:p>
        </w:tc>
        <w:tc>
          <w:tcPr/>
          <w:p>
            <w:pPr>
              <w:pStyle w:val="Compact"/>
            </w:pPr>
            <w:r>
              <w:t xml:space="preserve">мес. 10–14</w:t>
            </w:r>
          </w:p>
        </w:tc>
        <w:tc>
          <w:tcPr/>
          <w:p>
            <w:pPr>
              <w:pStyle w:val="Compact"/>
            </w:pPr>
            <w:r>
              <w:t xml:space="preserve">акт ВВ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Сертификация СЗИ ФСТЭК</w:t>
            </w:r>
          </w:p>
        </w:tc>
        <w:tc>
          <w:tcPr/>
          <w:p>
            <w:pPr>
              <w:pStyle w:val="Compact"/>
            </w:pPr>
            <w:r>
              <w:t xml:space="preserve">мес. 12–16</w:t>
            </w:r>
          </w:p>
        </w:tc>
        <w:tc>
          <w:tcPr/>
          <w:p>
            <w:pPr>
              <w:pStyle w:val="Compact"/>
            </w:pPr>
            <w:r>
              <w:t xml:space="preserve">сертификат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Бета-тестирование</w:t>
            </w:r>
          </w:p>
        </w:tc>
        <w:tc>
          <w:tcPr/>
          <w:p>
            <w:pPr>
              <w:pStyle w:val="Compact"/>
            </w:pPr>
            <w:r>
              <w:t xml:space="preserve">мес. 14–17</w:t>
            </w:r>
          </w:p>
        </w:tc>
        <w:tc>
          <w:tcPr/>
          <w:p>
            <w:pPr>
              <w:pStyle w:val="Compact"/>
            </w:pPr>
            <w:r>
              <w:t xml:space="preserve">акт БВ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Релиз</w:t>
            </w:r>
          </w:p>
        </w:tc>
        <w:tc>
          <w:tcPr/>
          <w:p>
            <w:pPr>
              <w:pStyle w:val="Compact"/>
            </w:pPr>
            <w:r>
              <w:t xml:space="preserve">мес. 18</w:t>
            </w:r>
          </w:p>
        </w:tc>
        <w:tc>
          <w:tcPr/>
          <w:p>
            <w:pPr>
              <w:pStyle w:val="Compact"/>
            </w:pPr>
            <w:r>
              <w:t xml:space="preserve">публикация в RuStore, App Store, Google Play, Microsoft Store</w:t>
            </w:r>
          </w:p>
        </w:tc>
      </w:tr>
    </w:tbl>
    <w:bookmarkEnd w:id="40"/>
    <w:bookmarkStart w:id="41" w:name="порядок-контроля-и-приёмки"/>
    <w:p>
      <w:pPr>
        <w:pStyle w:val="Heading2"/>
      </w:pPr>
      <w:r>
        <w:t xml:space="preserve">8. Порядок контроля и приёмки</w:t>
      </w:r>
    </w:p>
    <w:p>
      <w:pPr>
        <w:pStyle w:val="FirstParagraph"/>
      </w:pPr>
      <w:r>
        <w:t xml:space="preserve">Приёмка осуществляется в соответствии с ГОСТ 19.301 «Программа и методика испытаний». Контроль на этапах:</w:t>
      </w:r>
      <w:r>
        <w:t xml:space="preserve"> </w:t>
      </w:r>
      <w:r>
        <w:t xml:space="preserve">- альфа-тестирование (внутреннее);</w:t>
      </w:r>
      <w:r>
        <w:t xml:space="preserve"> </w:t>
      </w:r>
      <w:r>
        <w:t xml:space="preserve">- бета-тестирование (закрытое, пул пилотных пользователей);</w:t>
      </w:r>
      <w:r>
        <w:t xml:space="preserve"> </w:t>
      </w:r>
      <w:r>
        <w:t xml:space="preserve">- приёмочные испытания (с участием регулятора и заказчика);</w:t>
      </w:r>
      <w:r>
        <w:t xml:space="preserve"> </w:t>
      </w:r>
      <w:r>
        <w:t xml:space="preserve">- промышленная эксплуатация.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 требованиям ГОСТ 19.201-78 «Техническое задание на разработку программного обеспечения. Содержание и порядок составления».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2026-05-23T23:01:25Z</dcterms:created>
  <dcterms:modified xsi:type="dcterms:W3CDTF">2026-05-23T23:01:25Z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