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описание-программы"/>
    <w:p>
      <w:pPr>
        <w:pStyle w:val="Heading1"/>
      </w:pPr>
      <w:r>
        <w:t xml:space="preserve">Описание программы</w:t>
      </w:r>
    </w:p>
    <w:bookmarkStart w:id="9" w:name="цп-рсфср-мобильное-приложение"/>
    <w:p>
      <w:pPr>
        <w:pStyle w:val="Heading2"/>
      </w:pPr>
      <w:r>
        <w:t xml:space="preserve">ЦП РСФСР — мобильное приложение</w:t>
      </w:r>
    </w:p>
    <w:p>
      <w:pPr>
        <w:pStyle w:val="FirstParagraph"/>
      </w:pPr>
      <w:r>
        <w:rPr>
          <w:b/>
          <w:bCs/>
        </w:rPr>
        <w:t xml:space="preserve">Условное обозначение:</w:t>
      </w:r>
      <w:r>
        <w:t xml:space="preserve"> </w:t>
      </w:r>
      <w:r>
        <w:t xml:space="preserve">РСФСР.МП.02.ОП</w:t>
      </w:r>
      <w:r>
        <w:t xml:space="preserve"> </w:t>
      </w:r>
      <w:r>
        <w:rPr>
          <w:b/>
          <w:bCs/>
        </w:rPr>
        <w:t xml:space="preserve">Стандарт:</w:t>
      </w:r>
      <w:r>
        <w:t xml:space="preserve"> </w:t>
      </w:r>
      <w:r>
        <w:t xml:space="preserve">ГОСТ 19.402-78</w:t>
      </w:r>
      <w:r>
        <w:t xml:space="preserve"> </w:t>
      </w:r>
      <w:r>
        <w:rPr>
          <w:b/>
          <w:bCs/>
        </w:rPr>
        <w:t xml:space="preserve">Правообладатель:</w:t>
      </w:r>
      <w:r>
        <w:t xml:space="preserve"> </w:t>
      </w:r>
      <w:r>
        <w:t xml:space="preserve">Кагиров Абдул-Хаким Ахмадович</w:t>
      </w:r>
    </w:p>
    <w:p>
      <w:r>
        <w:pict>
          <v:rect style="width:0;height:1.5pt" o:hralign="center" o:hrstd="t" o:hr="t"/>
        </w:pict>
      </w:r>
    </w:p>
    <w:bookmarkEnd w:id="9"/>
    <w:bookmarkStart w:id="13" w:name="общие-сведения"/>
    <w:p>
      <w:pPr>
        <w:pStyle w:val="Heading2"/>
      </w:pPr>
      <w:r>
        <w:t xml:space="preserve">1. Общие сведения</w:t>
      </w:r>
    </w:p>
    <w:bookmarkStart w:id="10" w:name="обозначение-и-наименование-программы"/>
    <w:p>
      <w:pPr>
        <w:pStyle w:val="Heading3"/>
      </w:pPr>
      <w:r>
        <w:t xml:space="preserve">1.1. Обозначение и наименование программы</w:t>
      </w:r>
    </w:p>
    <w:p>
      <w:pPr>
        <w:pStyle w:val="FirstParagraph"/>
      </w:pPr>
      <w:r>
        <w:t xml:space="preserve">Полное наименование: «ЦП РСФСР — мобильное приложение залогодателя».</w:t>
      </w:r>
      <w:r>
        <w:t xml:space="preserve"> </w:t>
      </w:r>
      <w:r>
        <w:t xml:space="preserve">Условное: РСФСР.МП.</w:t>
      </w:r>
    </w:p>
    <w:bookmarkEnd w:id="10"/>
    <w:bookmarkStart w:id="11" w:name="Xb0fb4852b731304b2699c0c6045707a2b1e114a"/>
    <w:p>
      <w:pPr>
        <w:pStyle w:val="Heading3"/>
      </w:pPr>
      <w:r>
        <w:t xml:space="preserve">1.2. Программное обеспечение, необходимое для функционирования</w:t>
      </w:r>
    </w:p>
    <w:p>
      <w:pPr>
        <w:pStyle w:val="FirstParagraph"/>
      </w:pPr>
      <w:r>
        <w:t xml:space="preserve">Программа функционирует автономно. Необходимое окружение:</w:t>
      </w:r>
      <w:r>
        <w:t xml:space="preserve"> </w:t>
      </w:r>
      <w:r>
        <w:t xml:space="preserve">- операционная система: iOS 15+, Android 9+, Windows 10+;</w:t>
      </w:r>
      <w:r>
        <w:t xml:space="preserve"> </w:t>
      </w:r>
      <w:r>
        <w:t xml:space="preserve">- веб-браузер для PWA-режима с поддержкой Service Worker;</w:t>
      </w:r>
      <w:r>
        <w:t xml:space="preserve"> </w:t>
      </w:r>
      <w:r>
        <w:t xml:space="preserve">- сетевое подключение для интерактивных операций (просмотр кешированных данных доступен оффлайн).</w:t>
      </w:r>
    </w:p>
    <w:bookmarkEnd w:id="11"/>
    <w:bookmarkStart w:id="12" w:name="языки-программирования"/>
    <w:p>
      <w:pPr>
        <w:pStyle w:val="Heading3"/>
      </w:pPr>
      <w:r>
        <w:t xml:space="preserve">1.3. Языки программирования</w:t>
      </w:r>
    </w:p>
    <w:p>
      <w:pPr>
        <w:pStyle w:val="Compact"/>
        <w:numPr>
          <w:ilvl w:val="0"/>
          <w:numId w:val="1001"/>
        </w:numPr>
      </w:pPr>
      <w:r>
        <w:t xml:space="preserve">HTML5 / CSS3 / JavaScript (ES2020+) — основной код PWA.</w:t>
      </w:r>
    </w:p>
    <w:p>
      <w:pPr>
        <w:pStyle w:val="Compact"/>
        <w:numPr>
          <w:ilvl w:val="0"/>
          <w:numId w:val="1001"/>
        </w:numPr>
      </w:pPr>
      <w:r>
        <w:t xml:space="preserve">TypeScript — серверная часть API (вне приложения).</w:t>
      </w:r>
    </w:p>
    <w:p>
      <w:pPr>
        <w:pStyle w:val="Compact"/>
        <w:numPr>
          <w:ilvl w:val="0"/>
          <w:numId w:val="1001"/>
        </w:numPr>
      </w:pPr>
      <w:r>
        <w:t xml:space="preserve">Capacitor (TypeScript) — обёртка для нативной упаковки.</w:t>
      </w:r>
    </w:p>
    <w:p>
      <w:pPr>
        <w:pStyle w:val="Compact"/>
        <w:numPr>
          <w:ilvl w:val="0"/>
          <w:numId w:val="1001"/>
        </w:numPr>
      </w:pPr>
      <w:r>
        <w:t xml:space="preserve">Native bridges:</w:t>
      </w:r>
    </w:p>
    <w:p>
      <w:pPr>
        <w:pStyle w:val="Compact"/>
        <w:numPr>
          <w:ilvl w:val="1"/>
          <w:numId w:val="1002"/>
        </w:numPr>
      </w:pPr>
      <w:r>
        <w:t xml:space="preserve">Kotlin / Java — Android-обёртка;</w:t>
      </w:r>
    </w:p>
    <w:p>
      <w:pPr>
        <w:pStyle w:val="Compact"/>
        <w:numPr>
          <w:ilvl w:val="1"/>
          <w:numId w:val="1002"/>
        </w:numPr>
      </w:pPr>
      <w:r>
        <w:t xml:space="preserve">Swift / Objective-C — iOS-обёртка;</w:t>
      </w:r>
    </w:p>
    <w:p>
      <w:pPr>
        <w:pStyle w:val="Compact"/>
        <w:numPr>
          <w:ilvl w:val="1"/>
          <w:numId w:val="1002"/>
        </w:numPr>
      </w:pPr>
      <w:r>
        <w:t xml:space="preserve">C# (.NET MAUI/Windows App SDK) — Windows-обёртка.</w:t>
      </w:r>
    </w:p>
    <w:bookmarkEnd w:id="12"/>
    <w:bookmarkEnd w:id="13"/>
    <w:bookmarkStart w:id="16" w:name="функциональное-назначение"/>
    <w:p>
      <w:pPr>
        <w:pStyle w:val="Heading2"/>
      </w:pPr>
      <w:r>
        <w:t xml:space="preserve">2. Функциональное назначение</w:t>
      </w:r>
    </w:p>
    <w:bookmarkStart w:id="14" w:name="классы-решаемых-задач"/>
    <w:p>
      <w:pPr>
        <w:pStyle w:val="Heading3"/>
      </w:pPr>
      <w:r>
        <w:t xml:space="preserve">2.1. Классы решаемых задач</w:t>
      </w:r>
    </w:p>
    <w:p>
      <w:pPr>
        <w:pStyle w:val="FirstParagraph"/>
      </w:pPr>
      <w:r>
        <w:t xml:space="preserve">Программа относится к классу клиентских мобильных приложений финансово-учётного назначения с интеграцией с государственными информационными системами.</w:t>
      </w:r>
    </w:p>
    <w:bookmarkEnd w:id="14"/>
    <w:bookmarkStart w:id="15" w:name="сведения-о-функциональных-ограничениях"/>
    <w:p>
      <w:pPr>
        <w:pStyle w:val="Heading3"/>
      </w:pPr>
      <w:r>
        <w:t xml:space="preserve">2.2. Сведения о функциональных ограничениях</w:t>
      </w:r>
    </w:p>
    <w:p>
      <w:pPr>
        <w:pStyle w:val="Compact"/>
        <w:numPr>
          <w:ilvl w:val="0"/>
          <w:numId w:val="1003"/>
        </w:numPr>
      </w:pPr>
      <w:r>
        <w:t xml:space="preserve">Идентификация и подписание операций требуют подтверждённой учётной записи Госуслуг и доступа к ЕБС.</w:t>
      </w:r>
    </w:p>
    <w:p>
      <w:pPr>
        <w:pStyle w:val="Compact"/>
        <w:numPr>
          <w:ilvl w:val="0"/>
          <w:numId w:val="1003"/>
        </w:numPr>
      </w:pPr>
      <w:r>
        <w:t xml:space="preserve">Полноценное использование требует устройства с защищённым хранилищем (Secure Enclave / Trusted Execution Environment).</w:t>
      </w:r>
    </w:p>
    <w:p>
      <w:pPr>
        <w:pStyle w:val="Compact"/>
        <w:numPr>
          <w:ilvl w:val="0"/>
          <w:numId w:val="1003"/>
        </w:numPr>
      </w:pPr>
      <w:r>
        <w:t xml:space="preserve">Биометрия может быть недоступна на устройствах без соответствующих датчиков.</w:t>
      </w:r>
    </w:p>
    <w:p>
      <w:pPr>
        <w:pStyle w:val="Compact"/>
        <w:numPr>
          <w:ilvl w:val="0"/>
          <w:numId w:val="1003"/>
        </w:numPr>
      </w:pPr>
      <w:r>
        <w:t xml:space="preserve">Установка из RuStore, App Store, Google Play, Microsoft Store, либо PWA-установка через браузер.</w:t>
      </w:r>
    </w:p>
    <w:bookmarkEnd w:id="15"/>
    <w:bookmarkEnd w:id="16"/>
    <w:bookmarkStart w:id="20" w:name="описание-логической-структуры"/>
    <w:p>
      <w:pPr>
        <w:pStyle w:val="Heading2"/>
      </w:pPr>
      <w:r>
        <w:t xml:space="preserve">3. Описание логической структуры</w:t>
      </w:r>
    </w:p>
    <w:bookmarkStart w:id="17" w:name="архитектура-программы"/>
    <w:p>
      <w:pPr>
        <w:pStyle w:val="Heading3"/>
      </w:pPr>
      <w:r>
        <w:t xml:space="preserve">3.1. Архитектура программы</w:t>
      </w:r>
    </w:p>
    <w:p>
      <w:pPr>
        <w:pStyle w:val="FirstParagraph"/>
      </w:pPr>
      <w:r>
        <w:t xml:space="preserve">Программа построена по архитектурному принципу</w:t>
      </w:r>
      <w:r>
        <w:t xml:space="preserve"> </w:t>
      </w:r>
      <w:r>
        <w:rPr>
          <w:b/>
          <w:bCs/>
        </w:rPr>
        <w:t xml:space="preserve">Single Page Application</w:t>
      </w:r>
      <w:r>
        <w:t xml:space="preserve"> </w:t>
      </w:r>
      <w:r>
        <w:t xml:space="preserve">с использованием паттерна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и разделением на слои: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Presentation Layer</w:t>
      </w:r>
      <w:r>
        <w:t xml:space="preserve"> </w:t>
      </w:r>
      <w:r>
        <w:t xml:space="preserve">— экраны и компоненты пользовательского интерфейса (HTML/CSS).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Application Layer</w:t>
      </w:r>
      <w:r>
        <w:t xml:space="preserve"> </w:t>
      </w:r>
      <w:r>
        <w:t xml:space="preserve">— логика взаимодействия экранов, маршрутизация, управление состоянием (JavaScript).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 Layer</w:t>
      </w:r>
      <w:r>
        <w:t xml:space="preserve"> </w:t>
      </w:r>
      <w:r>
        <w:t xml:space="preserve">— бизнес-сущности (Asset, CFA, SmartContract, User, Transaction, Notification).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Layer</w:t>
      </w:r>
      <w:r>
        <w:t xml:space="preserve"> </w:t>
      </w:r>
      <w:r>
        <w:t xml:space="preserve">— взаимодействие с локальным хранилищем (LocalStorage, IndexedDB, SQLite) и сетевыми API.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Infrastructure Layer</w:t>
      </w:r>
      <w:r>
        <w:t xml:space="preserve"> </w:t>
      </w:r>
      <w:r>
        <w:t xml:space="preserve">— Service Worker, push-уведомления, биометрия, криптография.</w:t>
      </w:r>
    </w:p>
    <w:bookmarkEnd w:id="17"/>
    <w:bookmarkStart w:id="18" w:name="структура-программы"/>
    <w:p>
      <w:pPr>
        <w:pStyle w:val="Heading3"/>
      </w:pPr>
      <w:r>
        <w:t xml:space="preserve">3.2. Структура программы</w:t>
      </w:r>
    </w:p>
    <w:p>
      <w:pPr>
        <w:pStyle w:val="FirstParagraph"/>
      </w:pPr>
      <w:r>
        <w:t xml:space="preserve">Программа состоит из:</w:t>
      </w:r>
      <w:r>
        <w:t xml:space="preserve"> </w:t>
      </w:r>
      <w:r>
        <w:t xml:space="preserve">- единого HTML-файла с встроенным CSS и JavaScript кодом (</w:t>
      </w:r>
      <w:r>
        <w:rPr>
          <w:rStyle w:val="VerbatimChar"/>
        </w:rPr>
        <w:t xml:space="preserve">index.html</w:t>
      </w:r>
      <w:r>
        <w:t xml:space="preserve">);</w:t>
      </w:r>
      <w:r>
        <w:t xml:space="preserve"> </w:t>
      </w:r>
      <w:r>
        <w:t xml:space="preserve">- манифеста PWA (</w:t>
      </w:r>
      <w:r>
        <w:rPr>
          <w:rStyle w:val="VerbatimChar"/>
        </w:rPr>
        <w:t xml:space="preserve">manifest.json</w:t>
      </w:r>
      <w:r>
        <w:t xml:space="preserve">);</w:t>
      </w:r>
      <w:r>
        <w:t xml:space="preserve"> </w:t>
      </w:r>
      <w:r>
        <w:t xml:space="preserve">- сервисного работника для оффлайн-режима (</w:t>
      </w:r>
      <w:r>
        <w:rPr>
          <w:rStyle w:val="VerbatimChar"/>
        </w:rPr>
        <w:t xml:space="preserve">sw.js</w:t>
      </w:r>
      <w:r>
        <w:t xml:space="preserve">);</w:t>
      </w:r>
      <w:r>
        <w:t xml:space="preserve"> </w:t>
      </w:r>
      <w:r>
        <w:t xml:space="preserve">- иконок различных размеров (</w:t>
      </w:r>
      <w:r>
        <w:rPr>
          <w:rStyle w:val="VerbatimChar"/>
        </w:rPr>
        <w:t xml:space="preserve">icons/</w:t>
      </w:r>
      <w:r>
        <w:t xml:space="preserve">);</w:t>
      </w:r>
      <w:r>
        <w:t xml:space="preserve"> </w:t>
      </w:r>
      <w:r>
        <w:t xml:space="preserve">- разделяемых ресурсов с веб-проектом платформы (</w:t>
      </w:r>
      <w:r>
        <w:rPr>
          <w:rStyle w:val="VerbatimChar"/>
        </w:rPr>
        <w:t xml:space="preserve">../../_shared/</w:t>
      </w:r>
      <w:r>
        <w:t xml:space="preserve">).</w:t>
      </w:r>
    </w:p>
    <w:bookmarkEnd w:id="18"/>
    <w:bookmarkStart w:id="19" w:name="связи-с-другими-программами"/>
    <w:p>
      <w:pPr>
        <w:pStyle w:val="Heading3"/>
      </w:pPr>
      <w:r>
        <w:t xml:space="preserve">3.3. Связи с другими программами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ЦП РСФСР — Backend (API)</w:t>
      </w:r>
      <w:r>
        <w:t xml:space="preserve"> </w:t>
      </w:r>
      <w:r>
        <w:t xml:space="preserve">— REST-взаимодействие через защищённый канал.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Госуслуги (ЕСИА)</w:t>
      </w:r>
      <w:r>
        <w:t xml:space="preserve"> </w:t>
      </w:r>
      <w:r>
        <w:t xml:space="preserve">— OAuth 2.1 / OpenID Connect.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Единая биометрическая система</w:t>
      </w:r>
      <w:r>
        <w:t xml:space="preserve"> </w:t>
      </w:r>
      <w:r>
        <w:t xml:space="preserve">— REST по Положению ЦБ №482-П.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Платёжная инфраструктура НСПК (Мир)</w:t>
      </w:r>
      <w:r>
        <w:t xml:space="preserve"> </w:t>
      </w:r>
      <w:r>
        <w:t xml:space="preserve">— для зачисления выплат.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СМЭВ 3</w:t>
      </w:r>
      <w:r>
        <w:t xml:space="preserve"> </w:t>
      </w:r>
      <w:r>
        <w:t xml:space="preserve">— через серверную часть.</w:t>
      </w:r>
    </w:p>
    <w:bookmarkEnd w:id="19"/>
    <w:bookmarkEnd w:id="20"/>
    <w:bookmarkStart w:id="23" w:name="используемые-технические-средства"/>
    <w:p>
      <w:pPr>
        <w:pStyle w:val="Heading2"/>
      </w:pPr>
      <w:r>
        <w:t xml:space="preserve">4. Используемые технические средства</w:t>
      </w:r>
    </w:p>
    <w:bookmarkStart w:id="21" w:name="серверная-часть-вне-приложения"/>
    <w:p>
      <w:pPr>
        <w:pStyle w:val="Heading3"/>
      </w:pPr>
      <w:r>
        <w:t xml:space="preserve">Серверная часть (вне приложения)</w:t>
      </w:r>
    </w:p>
    <w:p>
      <w:pPr>
        <w:pStyle w:val="FirstParagraph"/>
      </w:pPr>
      <w:r>
        <w:t xml:space="preserve">Описана в документе «Концепция архитектуры» проекта ЦП РСФСР (</w:t>
      </w:r>
      <w:r>
        <w:rPr>
          <w:rStyle w:val="VerbatimChar"/>
        </w:rPr>
        <w:t xml:space="preserve">01_Техническая_документация/01_Концепция_архитектуры.md</w:t>
      </w:r>
      <w:r>
        <w:t xml:space="preserve">).</w:t>
      </w:r>
    </w:p>
    <w:bookmarkEnd w:id="21"/>
    <w:bookmarkStart w:id="22" w:name="клиентские-устройства"/>
    <w:p>
      <w:pPr>
        <w:pStyle w:val="Heading3"/>
      </w:pPr>
      <w:r>
        <w:t xml:space="preserve">Клиентские устройства</w:t>
      </w:r>
    </w:p>
    <w:p>
      <w:pPr>
        <w:pStyle w:val="Compact"/>
        <w:numPr>
          <w:ilvl w:val="0"/>
          <w:numId w:val="1006"/>
        </w:numPr>
      </w:pPr>
      <w:r>
        <w:t xml:space="preserve">iPhone, iPad с поддержкой iOS 15 и выше.</w:t>
      </w:r>
    </w:p>
    <w:p>
      <w:pPr>
        <w:pStyle w:val="Compact"/>
        <w:numPr>
          <w:ilvl w:val="0"/>
          <w:numId w:val="1006"/>
        </w:numPr>
      </w:pPr>
      <w:r>
        <w:t xml:space="preserve">Android-устройства уровня среднего класса и выше (от 3 ГБ оперативной памяти).</w:t>
      </w:r>
    </w:p>
    <w:p>
      <w:pPr>
        <w:pStyle w:val="Compact"/>
        <w:numPr>
          <w:ilvl w:val="0"/>
          <w:numId w:val="1006"/>
        </w:numPr>
      </w:pPr>
      <w:r>
        <w:t xml:space="preserve">Настольные и планшетные устройства под управлением Windows 10/11.</w:t>
      </w:r>
    </w:p>
    <w:p>
      <w:pPr>
        <w:pStyle w:val="Compact"/>
        <w:numPr>
          <w:ilvl w:val="0"/>
          <w:numId w:val="1006"/>
        </w:numPr>
      </w:pPr>
      <w:r>
        <w:t xml:space="preserve">Любые устройства с современным веб-браузером для PWA-режима.</w:t>
      </w:r>
    </w:p>
    <w:bookmarkEnd w:id="22"/>
    <w:bookmarkEnd w:id="23"/>
    <w:bookmarkStart w:id="27" w:name="вызов-и-загрузка"/>
    <w:p>
      <w:pPr>
        <w:pStyle w:val="Heading2"/>
      </w:pPr>
      <w:r>
        <w:t xml:space="preserve">5. Вызов и загрузка</w:t>
      </w:r>
    </w:p>
    <w:bookmarkStart w:id="24" w:name="установка"/>
    <w:p>
      <w:pPr>
        <w:pStyle w:val="Heading3"/>
      </w:pPr>
      <w:r>
        <w:t xml:space="preserve">5.1. Установка</w:t>
      </w:r>
    </w:p>
    <w:p>
      <w:pPr>
        <w:pStyle w:val="FirstParagraph"/>
      </w:pPr>
      <w:r>
        <w:t xml:space="preserve">Подробное описание процедур установки приведено в Руководстве по установке и администрированию (РСФСР.МП.05).</w:t>
      </w:r>
    </w:p>
    <w:p>
      <w:pPr>
        <w:pStyle w:val="BodyText"/>
      </w:pPr>
      <w:r>
        <w:t xml:space="preserve">Базовые пути установки: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RuStore (Android)</w:t>
      </w:r>
      <w:r>
        <w:t xml:space="preserve"> </w:t>
      </w:r>
      <w:r>
        <w:t xml:space="preserve">— основной канал для российских пользователей.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Store (iOS)</w:t>
      </w:r>
      <w:r>
        <w:t xml:space="preserve"> </w:t>
      </w:r>
      <w:r>
        <w:t xml:space="preserve">— при наличии регуляторных одобрений.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Play (Android)</w:t>
      </w:r>
      <w:r>
        <w:t xml:space="preserve"> </w:t>
      </w:r>
      <w:r>
        <w:t xml:space="preserve">— при наличии регуляторных одобрений.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Microsoft Store (Windows)</w:t>
      </w:r>
      <w:r>
        <w:t xml:space="preserve"> </w:t>
      </w:r>
      <w:r>
        <w:t xml:space="preserve">— при наличии регуляторных одобрений.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PWA</w:t>
      </w:r>
      <w:r>
        <w:t xml:space="preserve"> </w:t>
      </w:r>
      <w:r>
        <w:t xml:space="preserve">— установка из браузера через диалог «Добавить на главный экран».</w:t>
      </w:r>
    </w:p>
    <w:bookmarkEnd w:id="24"/>
    <w:bookmarkStart w:id="25" w:name="запуск"/>
    <w:p>
      <w:pPr>
        <w:pStyle w:val="Heading3"/>
      </w:pPr>
      <w:r>
        <w:t xml:space="preserve">5.2. Запуск</w:t>
      </w:r>
    </w:p>
    <w:p>
      <w:pPr>
        <w:pStyle w:val="FirstParagraph"/>
      </w:pPr>
      <w:r>
        <w:t xml:space="preserve">Запуск осуществляется через стандартный механизм операционной системы (нажатие на иконку приложения).</w:t>
      </w:r>
    </w:p>
    <w:bookmarkEnd w:id="25"/>
    <w:bookmarkStart w:id="26" w:name="завершение"/>
    <w:p>
      <w:pPr>
        <w:pStyle w:val="Heading3"/>
      </w:pPr>
      <w:r>
        <w:t xml:space="preserve">5.3. Завершение</w:t>
      </w:r>
    </w:p>
    <w:p>
      <w:pPr>
        <w:pStyle w:val="FirstParagraph"/>
      </w:pPr>
      <w:r>
        <w:t xml:space="preserve">Завершение работы происходит при сворачивании приложения. Сессия пользователя сохраняется в защищённом хранилище и при следующем запуске восстанавливается с требованием биометрической или PIN-аутентификации.</w:t>
      </w:r>
    </w:p>
    <w:bookmarkEnd w:id="26"/>
    <w:bookmarkEnd w:id="27"/>
    <w:bookmarkStart w:id="30" w:name="входные-данные"/>
    <w:p>
      <w:pPr>
        <w:pStyle w:val="Heading2"/>
      </w:pPr>
      <w:r>
        <w:t xml:space="preserve">6. Входные данные</w:t>
      </w:r>
    </w:p>
    <w:bookmarkStart w:id="28" w:name="источники"/>
    <w:p>
      <w:pPr>
        <w:pStyle w:val="Heading3"/>
      </w:pPr>
      <w:r>
        <w:t xml:space="preserve">6.1. Источники</w:t>
      </w:r>
    </w:p>
    <w:p>
      <w:pPr>
        <w:pStyle w:val="Compact"/>
        <w:numPr>
          <w:ilvl w:val="0"/>
          <w:numId w:val="1007"/>
        </w:numPr>
      </w:pPr>
      <w:r>
        <w:t xml:space="preserve">Действия пользователя (тапы, ввод текста).</w:t>
      </w:r>
    </w:p>
    <w:p>
      <w:pPr>
        <w:pStyle w:val="Compact"/>
        <w:numPr>
          <w:ilvl w:val="0"/>
          <w:numId w:val="1007"/>
        </w:numPr>
      </w:pPr>
      <w:r>
        <w:t xml:space="preserve">Данные из ЕСИА при авторизации.</w:t>
      </w:r>
    </w:p>
    <w:p>
      <w:pPr>
        <w:pStyle w:val="Compact"/>
        <w:numPr>
          <w:ilvl w:val="0"/>
          <w:numId w:val="1007"/>
        </w:numPr>
      </w:pPr>
      <w:r>
        <w:t xml:space="preserve">Биометрические подтверждения через ЕБС.</w:t>
      </w:r>
    </w:p>
    <w:p>
      <w:pPr>
        <w:pStyle w:val="Compact"/>
        <w:numPr>
          <w:ilvl w:val="0"/>
          <w:numId w:val="1007"/>
        </w:numPr>
      </w:pPr>
      <w:r>
        <w:t xml:space="preserve">Push-уведомления от серверной части.</w:t>
      </w:r>
    </w:p>
    <w:p>
      <w:pPr>
        <w:pStyle w:val="Compact"/>
        <w:numPr>
          <w:ilvl w:val="0"/>
          <w:numId w:val="1007"/>
        </w:numPr>
      </w:pPr>
      <w:r>
        <w:t xml:space="preserve">Данные из ЕГРН, Роспатента, депозитарных систем (через серверную часть).</w:t>
      </w:r>
    </w:p>
    <w:bookmarkEnd w:id="28"/>
    <w:bookmarkStart w:id="29" w:name="форматы"/>
    <w:p>
      <w:pPr>
        <w:pStyle w:val="Heading3"/>
      </w:pPr>
      <w:r>
        <w:t xml:space="preserve">6.2. Форматы</w:t>
      </w:r>
    </w:p>
    <w:p>
      <w:pPr>
        <w:pStyle w:val="Compact"/>
        <w:numPr>
          <w:ilvl w:val="0"/>
          <w:numId w:val="1008"/>
        </w:numPr>
      </w:pPr>
      <w:r>
        <w:t xml:space="preserve">JSON для всех сетевых обменов.</w:t>
      </w:r>
    </w:p>
    <w:p>
      <w:pPr>
        <w:pStyle w:val="Compact"/>
        <w:numPr>
          <w:ilvl w:val="0"/>
          <w:numId w:val="1008"/>
        </w:numPr>
      </w:pPr>
      <w:r>
        <w:t xml:space="preserve">Стандартные форматы платежей и нотификаций по СМЭВ 3.</w:t>
      </w:r>
    </w:p>
    <w:p>
      <w:pPr>
        <w:pStyle w:val="Compact"/>
        <w:numPr>
          <w:ilvl w:val="0"/>
          <w:numId w:val="1008"/>
        </w:numPr>
      </w:pPr>
      <w:r>
        <w:t xml:space="preserve">Биометрические подтверждения по форматам ЕБС.</w:t>
      </w:r>
    </w:p>
    <w:bookmarkEnd w:id="29"/>
    <w:bookmarkEnd w:id="30"/>
    <w:bookmarkStart w:id="33" w:name="выходные-данные"/>
    <w:p>
      <w:pPr>
        <w:pStyle w:val="Heading2"/>
      </w:pPr>
      <w:r>
        <w:t xml:space="preserve">7. Выходные данные</w:t>
      </w:r>
    </w:p>
    <w:bookmarkStart w:id="31" w:name="адресаты"/>
    <w:p>
      <w:pPr>
        <w:pStyle w:val="Heading3"/>
      </w:pPr>
      <w:r>
        <w:t xml:space="preserve">7.1. Адресаты</w:t>
      </w:r>
    </w:p>
    <w:p>
      <w:pPr>
        <w:pStyle w:val="Compact"/>
        <w:numPr>
          <w:ilvl w:val="0"/>
          <w:numId w:val="1009"/>
        </w:numPr>
      </w:pPr>
      <w:r>
        <w:t xml:space="preserve">Серверная часть ЦП РСФСР (подача актива, выпуск ЦФА, подписания, запросы выплат).</w:t>
      </w:r>
    </w:p>
    <w:p>
      <w:pPr>
        <w:pStyle w:val="Compact"/>
        <w:numPr>
          <w:ilvl w:val="0"/>
          <w:numId w:val="1009"/>
        </w:numPr>
      </w:pPr>
      <w:r>
        <w:t xml:space="preserve">Госуслуги (для получения официальных уведомлений).</w:t>
      </w:r>
    </w:p>
    <w:p>
      <w:pPr>
        <w:pStyle w:val="Compact"/>
        <w:numPr>
          <w:ilvl w:val="0"/>
          <w:numId w:val="1009"/>
        </w:numPr>
      </w:pPr>
      <w:r>
        <w:t xml:space="preserve">Пользователь (визуализация на экране).</w:t>
      </w:r>
    </w:p>
    <w:bookmarkEnd w:id="31"/>
    <w:bookmarkStart w:id="32" w:name="форматы-1"/>
    <w:p>
      <w:pPr>
        <w:pStyle w:val="Heading3"/>
      </w:pPr>
      <w:r>
        <w:t xml:space="preserve">7.2. Форматы</w:t>
      </w:r>
    </w:p>
    <w:p>
      <w:pPr>
        <w:pStyle w:val="Compact"/>
        <w:numPr>
          <w:ilvl w:val="0"/>
          <w:numId w:val="1010"/>
        </w:numPr>
      </w:pPr>
      <w:r>
        <w:t xml:space="preserve">JSON для API-запросов.</w:t>
      </w:r>
    </w:p>
    <w:p>
      <w:pPr>
        <w:pStyle w:val="Compact"/>
        <w:numPr>
          <w:ilvl w:val="0"/>
          <w:numId w:val="1010"/>
        </w:numPr>
      </w:pPr>
      <w:r>
        <w:t xml:space="preserve">ПДФ-выгрузки документов (договоры, справки).</w:t>
      </w:r>
    </w:p>
    <w:p>
      <w:pPr>
        <w:pStyle w:val="Compact"/>
        <w:numPr>
          <w:ilvl w:val="0"/>
          <w:numId w:val="1010"/>
        </w:numPr>
      </w:pPr>
      <w:r>
        <w:t xml:space="preserve">Excel/CSV — экспорт истории и доходов.</w:t>
      </w:r>
    </w:p>
    <w:bookmarkEnd w:id="32"/>
    <w:bookmarkEnd w:id="33"/>
    <w:bookmarkStart w:id="34" w:name="контрольный-пример"/>
    <w:p>
      <w:pPr>
        <w:pStyle w:val="Heading2"/>
      </w:pPr>
      <w:r>
        <w:t xml:space="preserve">8. Контрольный пример</w:t>
      </w:r>
    </w:p>
    <w:p>
      <w:pPr>
        <w:pStyle w:val="FirstParagraph"/>
      </w:pPr>
      <w:r>
        <w:t xml:space="preserve">Полный сценарий проверки приведён в документе «Программа и методика испытаний» (РСФСР.МП.10).</w:t>
      </w:r>
    </w:p>
    <w:p>
      <w:pPr>
        <w:pStyle w:val="BodyText"/>
      </w:pPr>
      <w:r>
        <w:t xml:space="preserve">Сокращённый базовый сценарий:</w:t>
      </w:r>
      <w:r>
        <w:t xml:space="preserve"> </w:t>
      </w:r>
      <w:r>
        <w:t xml:space="preserve">1. Запуск приложения.</w:t>
      </w:r>
      <w:r>
        <w:t xml:space="preserve"> </w:t>
      </w:r>
      <w:r>
        <w:t xml:space="preserve">2. Авторизация через ЕСИА (имитация в режиме демонстрации).</w:t>
      </w:r>
      <w:r>
        <w:t xml:space="preserve"> </w:t>
      </w:r>
      <w:r>
        <w:t xml:space="preserve">3. Подача актива на залог.</w:t>
      </w:r>
      <w:r>
        <w:t xml:space="preserve"> </w:t>
      </w:r>
      <w:r>
        <w:t xml:space="preserve">4. Получение результата оценки.</w:t>
      </w:r>
      <w:r>
        <w:t xml:space="preserve"> </w:t>
      </w:r>
      <w:r>
        <w:t xml:space="preserve">5. Настройка и подписание смарт-контракта.</w:t>
      </w:r>
      <w:r>
        <w:t xml:space="preserve"> </w:t>
      </w:r>
      <w:r>
        <w:t xml:space="preserve">6. Проверка выпуска ЦФА.</w:t>
      </w:r>
      <w:r>
        <w:t xml:space="preserve"> </w:t>
      </w:r>
      <w:r>
        <w:t xml:space="preserve">7. Проверка отображения выпущенного ЦФА в портфеле.</w:t>
      </w:r>
      <w:r>
        <w:t xml:space="preserve"> </w:t>
      </w:r>
      <w:r>
        <w:t xml:space="preserve">8. Проверка получения уведомления о выпуске.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соответствует требованиям ГОСТ 19.402-78 «Описание программы».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2026-05-23T23:01:25Z</dcterms:created>
  <dcterms:modified xsi:type="dcterms:W3CDTF">2026-05-23T23:01:25Z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