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описание-применения"/>
    <w:p>
      <w:pPr>
        <w:pStyle w:val="Heading1"/>
      </w:pPr>
      <w:r>
        <w:t xml:space="preserve">Описание применения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РСФСР.МП.03.ОПР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19.502-78</w:t>
      </w:r>
    </w:p>
    <w:p>
      <w:r>
        <w:pict>
          <v:rect style="width:0;height:1.5pt" o:hralign="center" o:hrstd="t" o:hr="t"/>
        </w:pict>
      </w:r>
    </w:p>
    <w:bookmarkEnd w:id="9"/>
    <w:bookmarkStart w:id="13" w:name="назначение-программы"/>
    <w:p>
      <w:pPr>
        <w:pStyle w:val="Heading2"/>
      </w:pPr>
      <w:r>
        <w:t xml:space="preserve">1. Назначение программы</w:t>
      </w:r>
    </w:p>
    <w:bookmarkStart w:id="10" w:name="возможности"/>
    <w:p>
      <w:pPr>
        <w:pStyle w:val="Heading3"/>
      </w:pPr>
      <w:r>
        <w:t xml:space="preserve">1.1. Возможности</w:t>
      </w:r>
    </w:p>
    <w:p>
      <w:pPr>
        <w:pStyle w:val="FirstParagraph"/>
      </w:pPr>
      <w:r>
        <w:t xml:space="preserve">Приложение реализует клиентский функционал Цифровой Платформы РСФСР для собственников активов:</w:t>
      </w:r>
      <w:r>
        <w:t xml:space="preserve"> </w:t>
      </w:r>
      <w:r>
        <w:t xml:space="preserve">- регистрация и идентификация;</w:t>
      </w:r>
      <w:r>
        <w:t xml:space="preserve"> </w:t>
      </w:r>
      <w:r>
        <w:t xml:space="preserve">- подача имущества на залог;</w:t>
      </w:r>
      <w:r>
        <w:t xml:space="preserve"> </w:t>
      </w:r>
      <w:r>
        <w:t xml:space="preserve">- выпуск и обслуживание цифровых финансовых активов (ЦФА);</w:t>
      </w:r>
      <w:r>
        <w:t xml:space="preserve"> </w:t>
      </w:r>
      <w:r>
        <w:t xml:space="preserve">- получение дохода от размещения;</w:t>
      </w:r>
      <w:r>
        <w:t xml:space="preserve"> </w:t>
      </w:r>
      <w:r>
        <w:t xml:space="preserve">- управление портфелем активов и ЦФА.</w:t>
      </w:r>
    </w:p>
    <w:bookmarkEnd w:id="10"/>
    <w:bookmarkStart w:id="11" w:name="основные-характеристики"/>
    <w:p>
      <w:pPr>
        <w:pStyle w:val="Heading3"/>
      </w:pPr>
      <w:r>
        <w:t xml:space="preserve">1.2. Основные характеристики</w:t>
      </w:r>
    </w:p>
    <w:p>
      <w:pPr>
        <w:pStyle w:val="Compact"/>
        <w:numPr>
          <w:ilvl w:val="0"/>
          <w:numId w:val="1001"/>
        </w:numPr>
      </w:pPr>
      <w:r>
        <w:t xml:space="preserve">23 пользовательских экрана.</w:t>
      </w:r>
    </w:p>
    <w:p>
      <w:pPr>
        <w:pStyle w:val="Compact"/>
        <w:numPr>
          <w:ilvl w:val="0"/>
          <w:numId w:val="1001"/>
        </w:numPr>
      </w:pPr>
      <w:r>
        <w:t xml:space="preserve">4 темы оформления (светлая, тёмная, мягкая, контрастная A11Y).</w:t>
      </w:r>
    </w:p>
    <w:p>
      <w:pPr>
        <w:pStyle w:val="Compact"/>
        <w:numPr>
          <w:ilvl w:val="0"/>
          <w:numId w:val="1001"/>
        </w:numPr>
      </w:pPr>
      <w:r>
        <w:t xml:space="preserve">4 языка интерфейса (русский, английский, французский, арабский с RTL).</w:t>
      </w:r>
    </w:p>
    <w:p>
      <w:pPr>
        <w:pStyle w:val="Compact"/>
        <w:numPr>
          <w:ilvl w:val="0"/>
          <w:numId w:val="1001"/>
        </w:numPr>
      </w:pPr>
      <w:r>
        <w:t xml:space="preserve">Полная WCAG 2.2 AA доступность.</w:t>
      </w:r>
    </w:p>
    <w:p>
      <w:pPr>
        <w:pStyle w:val="Compact"/>
        <w:numPr>
          <w:ilvl w:val="0"/>
          <w:numId w:val="1001"/>
        </w:numPr>
      </w:pPr>
      <w:r>
        <w:t xml:space="preserve">Оффлайн-режим через Service Worker.</w:t>
      </w:r>
    </w:p>
    <w:p>
      <w:pPr>
        <w:pStyle w:val="Compact"/>
        <w:numPr>
          <w:ilvl w:val="0"/>
          <w:numId w:val="1001"/>
        </w:numPr>
      </w:pPr>
      <w:r>
        <w:t xml:space="preserve">Поддержка установки как нативного приложения на iOS, Android, Windows.</w:t>
      </w:r>
    </w:p>
    <w:p>
      <w:pPr>
        <w:pStyle w:val="Compact"/>
        <w:numPr>
          <w:ilvl w:val="0"/>
          <w:numId w:val="1001"/>
        </w:numPr>
      </w:pPr>
      <w:r>
        <w:t xml:space="preserve">Поддержка PWA-режима для любого современного браузера.</w:t>
      </w:r>
    </w:p>
    <w:bookmarkEnd w:id="11"/>
    <w:bookmarkStart w:id="12" w:name="сведения-об-ограничениях"/>
    <w:p>
      <w:pPr>
        <w:pStyle w:val="Heading3"/>
      </w:pPr>
      <w:r>
        <w:t xml:space="preserve">1.3. Сведения об ограничениях</w:t>
      </w:r>
    </w:p>
    <w:p>
      <w:pPr>
        <w:pStyle w:val="Compact"/>
        <w:numPr>
          <w:ilvl w:val="0"/>
          <w:numId w:val="1002"/>
        </w:numPr>
      </w:pPr>
      <w:r>
        <w:t xml:space="preserve">Полноценные операции (выпуск ЦФА, подписание) требуют сетевого подключения.</w:t>
      </w:r>
    </w:p>
    <w:p>
      <w:pPr>
        <w:pStyle w:val="Compact"/>
        <w:numPr>
          <w:ilvl w:val="0"/>
          <w:numId w:val="1002"/>
        </w:numPr>
      </w:pPr>
      <w:r>
        <w:t xml:space="preserve">Подтверждение операций — через ЕСИА и ЕБС.</w:t>
      </w:r>
    </w:p>
    <w:p>
      <w:pPr>
        <w:pStyle w:val="Compact"/>
        <w:numPr>
          <w:ilvl w:val="0"/>
          <w:numId w:val="1002"/>
        </w:numPr>
      </w:pPr>
      <w:r>
        <w:t xml:space="preserve">Импортонезависимая криптография (ГОСТ Р 34.10-2012 / 34.11-2012 / 34.12-2015).</w:t>
      </w:r>
    </w:p>
    <w:bookmarkEnd w:id="12"/>
    <w:bookmarkEnd w:id="13"/>
    <w:bookmarkStart w:id="19" w:name="условия-применения"/>
    <w:p>
      <w:pPr>
        <w:pStyle w:val="Heading2"/>
      </w:pPr>
      <w:r>
        <w:t xml:space="preserve">2. Условия применения</w:t>
      </w:r>
    </w:p>
    <w:bookmarkStart w:id="17" w:name="X5be87c501dee657279fb6235da97cf498660a48"/>
    <w:p>
      <w:pPr>
        <w:pStyle w:val="Heading3"/>
      </w:pPr>
      <w:r>
        <w:t xml:space="preserve">2.1. Условия, необходимые для выполнения программы</w:t>
      </w:r>
    </w:p>
    <w:bookmarkStart w:id="14" w:name="технические-условия"/>
    <w:p>
      <w:pPr>
        <w:pStyle w:val="Heading4"/>
      </w:pPr>
      <w:r>
        <w:t xml:space="preserve">Технические условия</w:t>
      </w:r>
    </w:p>
    <w:p>
      <w:pPr>
        <w:pStyle w:val="Compact"/>
        <w:numPr>
          <w:ilvl w:val="0"/>
          <w:numId w:val="1003"/>
        </w:numPr>
      </w:pPr>
      <w:r>
        <w:t xml:space="preserve">iOS 15+ / Android 9+ / Windows 10+ / современный браузер с поддержкой Service Worker.</w:t>
      </w:r>
    </w:p>
    <w:p>
      <w:pPr>
        <w:pStyle w:val="Compact"/>
        <w:numPr>
          <w:ilvl w:val="0"/>
          <w:numId w:val="1003"/>
        </w:numPr>
      </w:pPr>
      <w:r>
        <w:t xml:space="preserve">Защищённое хранилище для секретов (Secure Enclave / Trusted Execution Environment).</w:t>
      </w:r>
    </w:p>
    <w:p>
      <w:pPr>
        <w:pStyle w:val="Compact"/>
        <w:numPr>
          <w:ilvl w:val="0"/>
          <w:numId w:val="1003"/>
        </w:numPr>
      </w:pPr>
      <w:r>
        <w:t xml:space="preserve">Биометрия — желательно, но не обязательно.</w:t>
      </w:r>
    </w:p>
    <w:p>
      <w:pPr>
        <w:pStyle w:val="Compact"/>
        <w:numPr>
          <w:ilvl w:val="0"/>
          <w:numId w:val="1003"/>
        </w:numPr>
      </w:pPr>
      <w:r>
        <w:t xml:space="preserve">Минимум 80 МБ свободного места.</w:t>
      </w:r>
    </w:p>
    <w:p>
      <w:pPr>
        <w:pStyle w:val="Compact"/>
        <w:numPr>
          <w:ilvl w:val="0"/>
          <w:numId w:val="1003"/>
        </w:numPr>
      </w:pPr>
      <w:r>
        <w:t xml:space="preserve">Сетевое подключение от 1 Мбит/с.</w:t>
      </w:r>
    </w:p>
    <w:bookmarkEnd w:id="14"/>
    <w:bookmarkStart w:id="15" w:name="программные-условия"/>
    <w:p>
      <w:pPr>
        <w:pStyle w:val="Heading4"/>
      </w:pPr>
      <w:r>
        <w:t xml:space="preserve">Программные условия</w:t>
      </w:r>
    </w:p>
    <w:p>
      <w:pPr>
        <w:pStyle w:val="Compact"/>
        <w:numPr>
          <w:ilvl w:val="0"/>
          <w:numId w:val="1004"/>
        </w:numPr>
      </w:pPr>
      <w:r>
        <w:t xml:space="preserve">Подтверждённая учётная запись Госуслуг (ЕСИА).</w:t>
      </w:r>
    </w:p>
    <w:p>
      <w:pPr>
        <w:pStyle w:val="Compact"/>
        <w:numPr>
          <w:ilvl w:val="0"/>
          <w:numId w:val="1004"/>
        </w:numPr>
      </w:pPr>
      <w:r>
        <w:t xml:space="preserve">Согласие на обработку персональных данных (152-ФЗ).</w:t>
      </w:r>
    </w:p>
    <w:bookmarkEnd w:id="15"/>
    <w:bookmarkStart w:id="16" w:name="условия-безопасности"/>
    <w:p>
      <w:pPr>
        <w:pStyle w:val="Heading4"/>
      </w:pPr>
      <w:r>
        <w:t xml:space="preserve">Условия безопасности</w:t>
      </w:r>
    </w:p>
    <w:p>
      <w:pPr>
        <w:pStyle w:val="Compact"/>
        <w:numPr>
          <w:ilvl w:val="0"/>
          <w:numId w:val="1005"/>
        </w:numPr>
      </w:pPr>
      <w:r>
        <w:t xml:space="preserve">Устройство не должно быть скомпрометировано (jailbreak/root → отказ работы).</w:t>
      </w:r>
    </w:p>
    <w:p>
      <w:pPr>
        <w:pStyle w:val="Compact"/>
        <w:numPr>
          <w:ilvl w:val="0"/>
          <w:numId w:val="1005"/>
        </w:numPr>
      </w:pPr>
      <w:r>
        <w:t xml:space="preserve">Должна быть включена защита экрана (PIN, биометрия, графический пароль).</w:t>
      </w:r>
    </w:p>
    <w:bookmarkEnd w:id="16"/>
    <w:bookmarkEnd w:id="17"/>
    <w:bookmarkStart w:id="18" w:name="категории-пользователей"/>
    <w:p>
      <w:pPr>
        <w:pStyle w:val="Heading3"/>
      </w:pPr>
      <w:r>
        <w:t xml:space="preserve">2.2. Категории пользователей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Физические лица</w:t>
      </w:r>
      <w:r>
        <w:t xml:space="preserve"> </w:t>
      </w:r>
      <w:r>
        <w:t xml:space="preserve">— собственники недвижимости, транспорта, ИС, ценных бумаг.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Уполномоченные представители юридических лиц</w:t>
      </w:r>
      <w:r>
        <w:t xml:space="preserve"> </w:t>
      </w:r>
      <w:r>
        <w:t xml:space="preserve">— для управления активами организации.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Представители государственных предприятий</w:t>
      </w:r>
      <w:r>
        <w:t xml:space="preserve"> </w:t>
      </w:r>
      <w:r>
        <w:t xml:space="preserve">— для целей корпоративных программ.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Индивидуальные предприниматели, НКО, фонды</w:t>
      </w:r>
      <w:r>
        <w:t xml:space="preserve"> </w:t>
      </w:r>
      <w:r>
        <w:t xml:space="preserve">— собственники активов.</w:t>
      </w:r>
    </w:p>
    <w:bookmarkEnd w:id="18"/>
    <w:bookmarkEnd w:id="19"/>
    <w:bookmarkStart w:id="20" w:name="описание-задачи"/>
    <w:p>
      <w:pPr>
        <w:pStyle w:val="Heading2"/>
      </w:pPr>
      <w:r>
        <w:t xml:space="preserve">3. Описание задачи</w:t>
      </w:r>
    </w:p>
    <w:p>
      <w:pPr>
        <w:pStyle w:val="FirstParagraph"/>
      </w:pPr>
      <w:r>
        <w:t xml:space="preserve">Задача программы — обеспечить полный жизненный цикл взаимодействия собственника актива с Цифровой Платформой РСФСР:</w:t>
      </w:r>
    </w:p>
    <w:p>
      <w:pPr>
        <w:pStyle w:val="Compact"/>
        <w:numPr>
          <w:ilvl w:val="0"/>
          <w:numId w:val="1007"/>
        </w:numPr>
      </w:pPr>
      <w:r>
        <w:t xml:space="preserve">Идентификация — регистрация через ЕСИА с подтверждением ПДн.</w:t>
      </w:r>
    </w:p>
    <w:p>
      <w:pPr>
        <w:pStyle w:val="Compact"/>
        <w:numPr>
          <w:ilvl w:val="0"/>
          <w:numId w:val="1007"/>
        </w:numPr>
      </w:pPr>
      <w:r>
        <w:t xml:space="preserve">Сегментация — определение типа собственности.</w:t>
      </w:r>
    </w:p>
    <w:p>
      <w:pPr>
        <w:pStyle w:val="Compact"/>
        <w:numPr>
          <w:ilvl w:val="0"/>
          <w:numId w:val="1007"/>
        </w:numPr>
      </w:pPr>
      <w:r>
        <w:t xml:space="preserve">Внесение актива — подача в систему с автоматической подгрузкой данных из государственных реестров.</w:t>
      </w:r>
    </w:p>
    <w:p>
      <w:pPr>
        <w:pStyle w:val="Compact"/>
        <w:numPr>
          <w:ilvl w:val="0"/>
          <w:numId w:val="1007"/>
        </w:numPr>
      </w:pPr>
      <w:r>
        <w:t xml:space="preserve">Оценка — заявка авторизованному оценщику-партнёру.</w:t>
      </w:r>
    </w:p>
    <w:p>
      <w:pPr>
        <w:pStyle w:val="Compact"/>
        <w:numPr>
          <w:ilvl w:val="0"/>
          <w:numId w:val="1007"/>
        </w:numPr>
      </w:pPr>
      <w:r>
        <w:t xml:space="preserve">Структурирование — настройка условий смарт-контракта в соответствии с целевой программой.</w:t>
      </w:r>
    </w:p>
    <w:p>
      <w:pPr>
        <w:pStyle w:val="Compact"/>
        <w:numPr>
          <w:ilvl w:val="0"/>
          <w:numId w:val="1007"/>
        </w:numPr>
      </w:pPr>
      <w:r>
        <w:t xml:space="preserve">Подписание — электронная подпись усиленной квалифицированной ЭП.</w:t>
      </w:r>
    </w:p>
    <w:p>
      <w:pPr>
        <w:pStyle w:val="Compact"/>
        <w:numPr>
          <w:ilvl w:val="0"/>
          <w:numId w:val="1007"/>
        </w:numPr>
      </w:pPr>
      <w:r>
        <w:t xml:space="preserve">Выпуск ЦФА — передача в Банк России.</w:t>
      </w:r>
    </w:p>
    <w:p>
      <w:pPr>
        <w:pStyle w:val="Compact"/>
        <w:numPr>
          <w:ilvl w:val="0"/>
          <w:numId w:val="1007"/>
        </w:numPr>
      </w:pPr>
      <w:r>
        <w:t xml:space="preserve">Эмиссия — целевая эмиссия средств Банком России на эскроу.</w:t>
      </w:r>
    </w:p>
    <w:p>
      <w:pPr>
        <w:pStyle w:val="Compact"/>
        <w:numPr>
          <w:ilvl w:val="0"/>
          <w:numId w:val="1007"/>
        </w:numPr>
      </w:pPr>
      <w:r>
        <w:t xml:space="preserve">Финансирование — перевод в Федеральное казначейство, реализация нацпроекта.</w:t>
      </w:r>
    </w:p>
    <w:p>
      <w:pPr>
        <w:pStyle w:val="Compact"/>
        <w:numPr>
          <w:ilvl w:val="0"/>
          <w:numId w:val="1007"/>
        </w:numPr>
      </w:pPr>
      <w:r>
        <w:t xml:space="preserve">Мониторинг — отслеживание событий смарт-контракта.</w:t>
      </w:r>
    </w:p>
    <w:p>
      <w:pPr>
        <w:pStyle w:val="Compact"/>
        <w:numPr>
          <w:ilvl w:val="0"/>
          <w:numId w:val="1007"/>
        </w:numPr>
      </w:pPr>
      <w:r>
        <w:t xml:space="preserve">Получение дохода — регулярные выплаты вознаграждения.</w:t>
      </w:r>
    </w:p>
    <w:p>
      <w:pPr>
        <w:pStyle w:val="Compact"/>
        <w:numPr>
          <w:ilvl w:val="0"/>
          <w:numId w:val="1007"/>
        </w:numPr>
      </w:pPr>
      <w:r>
        <w:t xml:space="preserve">Мена — замена первоначального ЦФА на ЦФА построенного объекта.</w:t>
      </w:r>
    </w:p>
    <w:p>
      <w:pPr>
        <w:pStyle w:val="Compact"/>
        <w:numPr>
          <w:ilvl w:val="0"/>
          <w:numId w:val="1007"/>
        </w:numPr>
      </w:pPr>
      <w:r>
        <w:t xml:space="preserve">Возврат — снятие обременения по истечении срока.</w:t>
      </w:r>
    </w:p>
    <w:p>
      <w:pPr>
        <w:pStyle w:val="Compact"/>
        <w:numPr>
          <w:ilvl w:val="0"/>
          <w:numId w:val="1007"/>
        </w:numPr>
      </w:pPr>
      <w:r>
        <w:t xml:space="preserve">Реинвестирование (опционально) — новый цикл с тем же активом.</w:t>
      </w:r>
    </w:p>
    <w:bookmarkEnd w:id="20"/>
    <w:bookmarkStart w:id="23" w:name="входные-и-выходные-данные"/>
    <w:p>
      <w:pPr>
        <w:pStyle w:val="Heading2"/>
      </w:pPr>
      <w:r>
        <w:t xml:space="preserve">4. Входные и выходные данные</w:t>
      </w:r>
    </w:p>
    <w:bookmarkStart w:id="21" w:name="входные-данные"/>
    <w:p>
      <w:pPr>
        <w:pStyle w:val="Heading3"/>
      </w:pPr>
      <w:r>
        <w:t xml:space="preserve">4.1. Входные данные</w:t>
      </w:r>
    </w:p>
    <w:p>
      <w:pPr>
        <w:pStyle w:val="Compact"/>
        <w:numPr>
          <w:ilvl w:val="0"/>
          <w:numId w:val="1008"/>
        </w:numPr>
      </w:pPr>
      <w:r>
        <w:t xml:space="preserve">ПДн пользователя из ЕСИА.</w:t>
      </w:r>
    </w:p>
    <w:p>
      <w:pPr>
        <w:pStyle w:val="Compact"/>
        <w:numPr>
          <w:ilvl w:val="0"/>
          <w:numId w:val="1008"/>
        </w:numPr>
      </w:pPr>
      <w:r>
        <w:t xml:space="preserve">Биометрические подтверждения из ЕБС.</w:t>
      </w:r>
    </w:p>
    <w:p>
      <w:pPr>
        <w:pStyle w:val="Compact"/>
        <w:numPr>
          <w:ilvl w:val="0"/>
          <w:numId w:val="1008"/>
        </w:numPr>
      </w:pPr>
      <w:r>
        <w:t xml:space="preserve">Действия пользователя (тапы, ввод).</w:t>
      </w:r>
    </w:p>
    <w:p>
      <w:pPr>
        <w:pStyle w:val="Compact"/>
        <w:numPr>
          <w:ilvl w:val="0"/>
          <w:numId w:val="1008"/>
        </w:numPr>
      </w:pPr>
      <w:r>
        <w:t xml:space="preserve">Данные из ЕГРН/Роспатента/депозитарных систем.</w:t>
      </w:r>
    </w:p>
    <w:p>
      <w:pPr>
        <w:pStyle w:val="Compact"/>
        <w:numPr>
          <w:ilvl w:val="0"/>
          <w:numId w:val="1008"/>
        </w:numPr>
      </w:pPr>
      <w:r>
        <w:t xml:space="preserve">Push-уведомления от серверной части.</w:t>
      </w:r>
    </w:p>
    <w:bookmarkEnd w:id="21"/>
    <w:bookmarkStart w:id="22" w:name="выходные-данные"/>
    <w:p>
      <w:pPr>
        <w:pStyle w:val="Heading3"/>
      </w:pPr>
      <w:r>
        <w:t xml:space="preserve">4.2. Выходные данные</w:t>
      </w:r>
    </w:p>
    <w:p>
      <w:pPr>
        <w:pStyle w:val="Compact"/>
        <w:numPr>
          <w:ilvl w:val="0"/>
          <w:numId w:val="1009"/>
        </w:numPr>
      </w:pPr>
      <w:r>
        <w:t xml:space="preserve">API-запросы к серверной части ЦП РСФСР.</w:t>
      </w:r>
    </w:p>
    <w:p>
      <w:pPr>
        <w:pStyle w:val="Compact"/>
        <w:numPr>
          <w:ilvl w:val="0"/>
          <w:numId w:val="1009"/>
        </w:numPr>
      </w:pPr>
      <w:r>
        <w:t xml:space="preserve">Электронно подписанные документы (договоры, акты).</w:t>
      </w:r>
    </w:p>
    <w:p>
      <w:pPr>
        <w:pStyle w:val="Compact"/>
        <w:numPr>
          <w:ilvl w:val="0"/>
          <w:numId w:val="1009"/>
        </w:numPr>
      </w:pPr>
      <w:r>
        <w:t xml:space="preserve">Отчёты для пользователя (история, доходы, налоговые справки).</w:t>
      </w:r>
    </w:p>
    <w:bookmarkEnd w:id="22"/>
    <w:bookmarkEnd w:id="23"/>
    <w:bookmarkStart w:id="26" w:name="эффективность-применения"/>
    <w:p>
      <w:pPr>
        <w:pStyle w:val="Heading2"/>
      </w:pPr>
      <w:r>
        <w:t xml:space="preserve">5. Эффективность применения</w:t>
      </w:r>
    </w:p>
    <w:bookmarkStart w:id="24" w:name="социально-экономическая-эффективность"/>
    <w:p>
      <w:pPr>
        <w:pStyle w:val="Heading3"/>
      </w:pPr>
      <w:r>
        <w:t xml:space="preserve">5.1. Социально-экономическая эффективность</w:t>
      </w:r>
    </w:p>
    <w:p>
      <w:pPr>
        <w:pStyle w:val="Compact"/>
        <w:numPr>
          <w:ilvl w:val="0"/>
          <w:numId w:val="1010"/>
        </w:numPr>
      </w:pPr>
      <w:r>
        <w:t xml:space="preserve">Повышение доступности механизма привлечения частного капитала в государственные проекты.</w:t>
      </w:r>
    </w:p>
    <w:p>
      <w:pPr>
        <w:pStyle w:val="Compact"/>
        <w:numPr>
          <w:ilvl w:val="0"/>
          <w:numId w:val="1010"/>
        </w:numPr>
      </w:pPr>
      <w:r>
        <w:t xml:space="preserve">Снижение трудоёмкости подачи и обслуживания залога в сравнении с традиционным банковским кредитованием на порядок.</w:t>
      </w:r>
    </w:p>
    <w:p>
      <w:pPr>
        <w:pStyle w:val="Compact"/>
        <w:numPr>
          <w:ilvl w:val="0"/>
          <w:numId w:val="1010"/>
        </w:numPr>
      </w:pPr>
      <w:r>
        <w:t xml:space="preserve">Сокращение времени от подачи актива до выпуска ЦФА с 30 дней (стандартный банковский залог) до 1–3 дней.</w:t>
      </w:r>
    </w:p>
    <w:p>
      <w:pPr>
        <w:pStyle w:val="Compact"/>
        <w:numPr>
          <w:ilvl w:val="0"/>
          <w:numId w:val="1010"/>
        </w:numPr>
      </w:pPr>
      <w:r>
        <w:t xml:space="preserve">Сохранение имущества в собственности и пользовании владельца с одновременным получением дохода.</w:t>
      </w:r>
    </w:p>
    <w:bookmarkEnd w:id="24"/>
    <w:bookmarkStart w:id="25" w:name="технико-экономические-показатели"/>
    <w:p>
      <w:pPr>
        <w:pStyle w:val="Heading3"/>
      </w:pPr>
      <w:r>
        <w:t xml:space="preserve">5.2. Технико-экономические показатели</w:t>
      </w:r>
    </w:p>
    <w:p>
      <w:pPr>
        <w:pStyle w:val="Compact"/>
        <w:numPr>
          <w:ilvl w:val="0"/>
          <w:numId w:val="1011"/>
        </w:numPr>
      </w:pPr>
      <w:r>
        <w:t xml:space="preserve">Время на выпуск ЦФА: ≤ 30 секунд от подписания смарт-контракта.</w:t>
      </w:r>
    </w:p>
    <w:p>
      <w:pPr>
        <w:pStyle w:val="Compact"/>
        <w:numPr>
          <w:ilvl w:val="0"/>
          <w:numId w:val="1011"/>
        </w:numPr>
      </w:pPr>
      <w:r>
        <w:t xml:space="preserve">Доступность 24/7.</w:t>
      </w:r>
    </w:p>
    <w:p>
      <w:pPr>
        <w:pStyle w:val="Compact"/>
        <w:numPr>
          <w:ilvl w:val="0"/>
          <w:numId w:val="1011"/>
        </w:numPr>
      </w:pPr>
      <w:r>
        <w:t xml:space="preserve">Поддерживаемый одновременный объём пользователей: до 50 000 параллельно.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19.502-78 «Описание применения».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2026-05-23T23:01:25Z</dcterms:created>
  <dcterms:modified xsi:type="dcterms:W3CDTF">2026-05-23T23:01:25Z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