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руководство-пользователя"/>
    <w:p>
      <w:pPr>
        <w:pStyle w:val="Heading1"/>
      </w:pPr>
      <w:r>
        <w:t xml:space="preserve">Руководство пользователя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РСФСР.МП.04.РП</w:t>
      </w:r>
      <w:r>
        <w:t xml:space="preserve"> </w:t>
      </w:r>
      <w:r>
        <w:rPr>
          <w:b/>
          <w:bCs/>
        </w:rPr>
        <w:t xml:space="preserve">Стандарт:</w:t>
      </w:r>
      <w:r>
        <w:t xml:space="preserve"> </w:t>
      </w:r>
      <w:r>
        <w:t xml:space="preserve">ГОСТ 19.505-79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программы"/>
    <w:p>
      <w:pPr>
        <w:pStyle w:val="Heading2"/>
      </w:pPr>
      <w:r>
        <w:t xml:space="preserve">1. Назначение программы</w:t>
      </w:r>
    </w:p>
    <w:p>
      <w:pPr>
        <w:pStyle w:val="FirstParagraph"/>
      </w:pPr>
      <w:r>
        <w:t xml:space="preserve">Приложение предназначено для управления личным портфелем активов и цифровых финансовых активов (ЦФА) на Цифровой Платформе РСФСР: подача имущества на залог, выпуск ЦФА, получение дохода от размещения, контроль смарт-контрактов.</w:t>
      </w:r>
    </w:p>
    <w:bookmarkEnd w:id="10"/>
    <w:bookmarkStart w:id="13" w:name="условия-выполнения-программы"/>
    <w:p>
      <w:pPr>
        <w:pStyle w:val="Heading2"/>
      </w:pPr>
      <w:r>
        <w:t xml:space="preserve">2. Условия выполнения программы</w:t>
      </w:r>
    </w:p>
    <w:bookmarkStart w:id="11" w:name="минимальные-технические-требования"/>
    <w:p>
      <w:pPr>
        <w:pStyle w:val="Heading3"/>
      </w:pPr>
      <w:r>
        <w:t xml:space="preserve">2.1. Минимальные технические требования</w:t>
      </w:r>
    </w:p>
    <w:p>
      <w:pPr>
        <w:pStyle w:val="Compact"/>
        <w:numPr>
          <w:ilvl w:val="0"/>
          <w:numId w:val="1001"/>
        </w:numPr>
      </w:pPr>
      <w:r>
        <w:t xml:space="preserve">iOS 15 и выше, либо</w:t>
      </w:r>
    </w:p>
    <w:p>
      <w:pPr>
        <w:pStyle w:val="Compact"/>
        <w:numPr>
          <w:ilvl w:val="0"/>
          <w:numId w:val="1001"/>
        </w:numPr>
      </w:pPr>
      <w:r>
        <w:t xml:space="preserve">Android 9 (API 28) и выше, либо</w:t>
      </w:r>
    </w:p>
    <w:p>
      <w:pPr>
        <w:pStyle w:val="Compact"/>
        <w:numPr>
          <w:ilvl w:val="0"/>
          <w:numId w:val="1001"/>
        </w:numPr>
      </w:pPr>
      <w:r>
        <w:t xml:space="preserve">Windows 10 (1809) и выше, либо</w:t>
      </w:r>
    </w:p>
    <w:p>
      <w:pPr>
        <w:pStyle w:val="Compact"/>
        <w:numPr>
          <w:ilvl w:val="0"/>
          <w:numId w:val="1001"/>
        </w:numPr>
      </w:pPr>
      <w:r>
        <w:t xml:space="preserve">современный браузер с поддержкой Service Worker.</w:t>
      </w:r>
    </w:p>
    <w:bookmarkEnd w:id="11"/>
    <w:bookmarkStart w:id="12" w:name="подготовка-к-работе"/>
    <w:p>
      <w:pPr>
        <w:pStyle w:val="Heading3"/>
      </w:pPr>
      <w:r>
        <w:t xml:space="preserve">2.2. Подготовка к работе</w:t>
      </w:r>
    </w:p>
    <w:p>
      <w:pPr>
        <w:pStyle w:val="Compact"/>
        <w:numPr>
          <w:ilvl w:val="0"/>
          <w:numId w:val="1002"/>
        </w:numPr>
      </w:pPr>
      <w:r>
        <w:t xml:space="preserve">Установите приложение из RuStore, App Store, Google Play, Microsoft Store, либо добавьте PWA на главный экран из браузера.</w:t>
      </w:r>
    </w:p>
    <w:p>
      <w:pPr>
        <w:pStyle w:val="Compact"/>
        <w:numPr>
          <w:ilvl w:val="0"/>
          <w:numId w:val="1002"/>
        </w:numPr>
      </w:pPr>
      <w:r>
        <w:t xml:space="preserve">Подготовьте подтверждённую учётную запись Госуслуг.</w:t>
      </w:r>
    </w:p>
    <w:p>
      <w:pPr>
        <w:pStyle w:val="Compact"/>
        <w:numPr>
          <w:ilvl w:val="0"/>
          <w:numId w:val="1002"/>
        </w:numPr>
      </w:pPr>
      <w:r>
        <w:t xml:space="preserve">Подготовьте документы на актив (правоустанавливающие, кадастровый номер для недвижимости).</w:t>
      </w:r>
    </w:p>
    <w:bookmarkEnd w:id="12"/>
    <w:bookmarkEnd w:id="13"/>
    <w:bookmarkStart w:id="33" w:name="работа-с-программой"/>
    <w:p>
      <w:pPr>
        <w:pStyle w:val="Heading2"/>
      </w:pPr>
      <w:r>
        <w:t xml:space="preserve">3. Работа с программой</w:t>
      </w:r>
    </w:p>
    <w:bookmarkStart w:id="17" w:name="первый-запуск"/>
    <w:p>
      <w:pPr>
        <w:pStyle w:val="Heading3"/>
      </w:pPr>
      <w:r>
        <w:t xml:space="preserve">3.1. Первый запуск</w:t>
      </w:r>
    </w:p>
    <w:p>
      <w:pPr>
        <w:pStyle w:val="FirstParagraph"/>
      </w:pPr>
      <w:r>
        <w:t xml:space="preserve">При первом запуске приложение приветствует пользователя экраном-заставкой и автоматически переходит на экран входа.</w:t>
      </w:r>
    </w:p>
    <w:bookmarkStart w:id="14" w:name="вход-в-систему"/>
    <w:p>
      <w:pPr>
        <w:pStyle w:val="Heading4"/>
      </w:pPr>
      <w:r>
        <w:t xml:space="preserve">Вход в систему</w:t>
      </w:r>
    </w:p>
    <w:p>
      <w:pPr>
        <w:pStyle w:val="FirstParagraph"/>
      </w:pPr>
      <w:r>
        <w:t xml:space="preserve">Доступны два способа: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Войти через Госуслуги</w:t>
      </w:r>
      <w:r>
        <w:t xml:space="preserve"> </w:t>
      </w:r>
      <w:r>
        <w:t xml:space="preserve">— основной способ для новых пользователей. Используется OpenID Connect к ЕСИА с подтверждённой учётной записью.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Биометрия</w:t>
      </w:r>
      <w:r>
        <w:t xml:space="preserve"> </w:t>
      </w:r>
      <w:r>
        <w:t xml:space="preserve">— для повторных входов уже зарегистрированного пользователя через Face ID / Touch ID / Windows Hello.</w:t>
      </w:r>
    </w:p>
    <w:bookmarkEnd w:id="14"/>
    <w:bookmarkStart w:id="15" w:name="регистрация-kyc"/>
    <w:p>
      <w:pPr>
        <w:pStyle w:val="Heading4"/>
      </w:pPr>
      <w:r>
        <w:t xml:space="preserve">Регистрация (KYC)</w:t>
      </w:r>
    </w:p>
    <w:p>
      <w:pPr>
        <w:pStyle w:val="FirstParagraph"/>
      </w:pPr>
      <w:r>
        <w:t xml:space="preserve">После первичной авторизации проводится трёхшаговая проверка личности: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Подтверждение личности</w:t>
      </w:r>
      <w:r>
        <w:t xml:space="preserve">: Фамилия, Имя, Отчество, серия и номер паспорта, ИНН. Данные подгружаются из подтверждённой учётной записи Госуслуг — проверьте их корректность.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Контактные данные</w:t>
      </w:r>
      <w:r>
        <w:t xml:space="preserve">: телефон (для SMS-кодов), email, регион.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Биометрия</w:t>
      </w:r>
      <w:r>
        <w:t xml:space="preserve">: подтверждение через Единую биометрическую систему. Поднесите телефон к лицу или приложите палец к датчику отпечатков. Можно пропустить этот шаг и настроить биометрию позже из меню «Настройки».</w:t>
      </w:r>
    </w:p>
    <w:bookmarkEnd w:id="15"/>
    <w:bookmarkStart w:id="16" w:name="знакомство-с-возможностями-onboarding"/>
    <w:p>
      <w:pPr>
        <w:pStyle w:val="Heading4"/>
      </w:pPr>
      <w:r>
        <w:t xml:space="preserve">Знакомство с возможностями (Onboarding)</w:t>
      </w:r>
    </w:p>
    <w:p>
      <w:pPr>
        <w:pStyle w:val="FirstParagraph"/>
      </w:pPr>
      <w:r>
        <w:t xml:space="preserve">После регистрации показываются три обучающих экрана:</w:t>
      </w:r>
      <w:r>
        <w:t xml:space="preserve"> </w:t>
      </w:r>
      <w:r>
        <w:t xml:space="preserve">1. Внесите актив в залог — недвижимость, транспорт, ИС, ценные бумаги; имущество остаётся у вас.</w:t>
      </w:r>
      <w:r>
        <w:t xml:space="preserve"> </w:t>
      </w:r>
      <w:r>
        <w:t xml:space="preserve">2. Платформа выпускает ЦФА — под ваш актив; Банк России производит целевую эмиссию.</w:t>
      </w:r>
      <w:r>
        <w:t xml:space="preserve"> </w:t>
      </w:r>
      <w:r>
        <w:t xml:space="preserve">3. Получайте доход — регулярные выплаты; по истечении срока обременение снимается.</w:t>
      </w:r>
    </w:p>
    <w:p>
      <w:pPr>
        <w:pStyle w:val="BodyText"/>
      </w:pPr>
      <w:r>
        <w:t xml:space="preserve">Любой шаг можно пропустить, нажав «Пропустить» в правом верхнем углу.</w:t>
      </w:r>
    </w:p>
    <w:bookmarkEnd w:id="16"/>
    <w:bookmarkEnd w:id="17"/>
    <w:bookmarkStart w:id="18" w:name="главный-экран"/>
    <w:p>
      <w:pPr>
        <w:pStyle w:val="Heading3"/>
      </w:pPr>
      <w:r>
        <w:t xml:space="preserve">3.2. Главный экран</w:t>
      </w:r>
    </w:p>
    <w:p>
      <w:pPr>
        <w:pStyle w:val="FirstParagraph"/>
      </w:pPr>
      <w:r>
        <w:t xml:space="preserve">Главный экран содержит: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Карточка баланса</w:t>
      </w:r>
      <w:r>
        <w:t xml:space="preserve"> </w:t>
      </w:r>
      <w:r>
        <w:t xml:space="preserve">— общая стоимость активов в работе; количество объектов в залоге; доход за квартал.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Быстрые действия</w:t>
      </w:r>
      <w:r>
        <w:t xml:space="preserve">: Подать актив, Мои ЦФА, Доходы, Документы.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Баннер национального проекта</w:t>
      </w:r>
      <w:r>
        <w:t xml:space="preserve"> </w:t>
      </w:r>
      <w:r>
        <w:t xml:space="preserve">— новые программы финансирования.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Мои активы</w:t>
      </w:r>
      <w:r>
        <w:t xml:space="preserve"> </w:t>
      </w:r>
      <w:r>
        <w:t xml:space="preserve">— два последних актива с возможностью открыть полный список.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Последние операции</w:t>
      </w:r>
      <w:r>
        <w:t xml:space="preserve"> </w:t>
      </w:r>
      <w:r>
        <w:t xml:space="preserve">— две последние операции с возможностью открыть полную историю.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Нижняя навигация</w:t>
      </w:r>
      <w:r>
        <w:t xml:space="preserve"> </w:t>
      </w:r>
      <w:r>
        <w:t xml:space="preserve">— пять вкладок: Главная, Активы, ЦФА, Доходы, Профиль.</w:t>
      </w:r>
    </w:p>
    <w:bookmarkEnd w:id="18"/>
    <w:bookmarkStart w:id="23" w:name="подача-актива-на-залог"/>
    <w:p>
      <w:pPr>
        <w:pStyle w:val="Heading3"/>
      </w:pPr>
      <w:r>
        <w:t xml:space="preserve">3.3. Подача актива на залог</w:t>
      </w:r>
    </w:p>
    <w:bookmarkStart w:id="19" w:name="шаг-1.-выбор-типа-имущества"/>
    <w:p>
      <w:pPr>
        <w:pStyle w:val="Heading4"/>
      </w:pPr>
      <w:r>
        <w:t xml:space="preserve">Шаг 1. Выбор типа имущества</w:t>
      </w:r>
    </w:p>
    <w:p>
      <w:pPr>
        <w:pStyle w:val="FirstParagraph"/>
      </w:pPr>
      <w:r>
        <w:t xml:space="preserve">Доступные категории:</w:t>
      </w:r>
      <w:r>
        <w:t xml:space="preserve"> </w:t>
      </w:r>
      <w:r>
        <w:t xml:space="preserve">- Недвижимость (квартира, дом, апартаменты);</w:t>
      </w:r>
      <w:r>
        <w:t xml:space="preserve"> </w:t>
      </w:r>
      <w:r>
        <w:t xml:space="preserve">- Земельный участок;</w:t>
      </w:r>
      <w:r>
        <w:t xml:space="preserve"> </w:t>
      </w:r>
      <w:r>
        <w:t xml:space="preserve">- Транспортное средство;</w:t>
      </w:r>
      <w:r>
        <w:t xml:space="preserve"> </w:t>
      </w:r>
      <w:r>
        <w:t xml:space="preserve">- Интеллектуальная собственность;</w:t>
      </w:r>
      <w:r>
        <w:t xml:space="preserve"> </w:t>
      </w:r>
      <w:r>
        <w:t xml:space="preserve">- Ценные бумаги.</w:t>
      </w:r>
    </w:p>
    <w:bookmarkEnd w:id="19"/>
    <w:bookmarkStart w:id="20" w:name="шаг-2.-характеристики"/>
    <w:p>
      <w:pPr>
        <w:pStyle w:val="Heading4"/>
      </w:pPr>
      <w:r>
        <w:t xml:space="preserve">Шаг 2. Характеристики</w:t>
      </w:r>
    </w:p>
    <w:p>
      <w:pPr>
        <w:pStyle w:val="FirstParagraph"/>
      </w:pPr>
      <w:r>
        <w:t xml:space="preserve">Для недвижимости — введите кадастровый номер. Адрес, площадь, год постройки и другие характеристики будут подгружены автоматически из ЕГРН через защищённый канал интеграции с Росреестром (218-ФЗ). Также прикрепляется документ о праве собственности.</w:t>
      </w:r>
    </w:p>
    <w:bookmarkEnd w:id="20"/>
    <w:bookmarkStart w:id="21" w:name="шаг-3.-заявка-на-оценку"/>
    <w:p>
      <w:pPr>
        <w:pStyle w:val="Heading4"/>
      </w:pPr>
      <w:r>
        <w:t xml:space="preserve">Шаг 3. Заявка на оценку</w:t>
      </w:r>
    </w:p>
    <w:p>
      <w:pPr>
        <w:pStyle w:val="FirstParagraph"/>
      </w:pPr>
      <w:r>
        <w:t xml:space="preserve">Просмотрите параметры заявки и подтвердите отправку. Оценочная компания-партнёр, аккредитованная по 135-ФЗ, проведёт оценку в течение 24 часов. Стоимость заявки — 0 ₽ (включено в платформенный сервис).</w:t>
      </w:r>
    </w:p>
    <w:bookmarkEnd w:id="21"/>
    <w:bookmarkStart w:id="22" w:name="шаг-4.-результат-оценки"/>
    <w:p>
      <w:pPr>
        <w:pStyle w:val="Heading4"/>
      </w:pPr>
      <w:r>
        <w:t xml:space="preserve">Шаг 4. Результат оценки</w:t>
      </w:r>
    </w:p>
    <w:p>
      <w:pPr>
        <w:pStyle w:val="FirstParagraph"/>
      </w:pPr>
      <w:r>
        <w:t xml:space="preserve">Получите оценочную стоимость и максимальный размер залогового ЦФА (по умолчанию 50% от оценки). Страхование залога включено. Действует 6 месяцев. Перейдите к смарт-контракту, чтобы выпустить ЦФА.</w:t>
      </w:r>
    </w:p>
    <w:bookmarkEnd w:id="22"/>
    <w:bookmarkEnd w:id="23"/>
    <w:bookmarkStart w:id="24" w:name="настройка-и-подписание-смарт-контракта"/>
    <w:p>
      <w:pPr>
        <w:pStyle w:val="Heading3"/>
      </w:pPr>
      <w:r>
        <w:t xml:space="preserve">3.4. Настройка и подписание смарт-контракта</w:t>
      </w:r>
    </w:p>
    <w:p>
      <w:pPr>
        <w:pStyle w:val="FirstParagraph"/>
      </w:pPr>
      <w:r>
        <w:t xml:space="preserve">На экране смарт-контракта установите: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Срок ЦФА</w:t>
      </w:r>
      <w:r>
        <w:t xml:space="preserve">: 12, 36 или 60 месяцев.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Целевое использование</w:t>
      </w:r>
      <w:r>
        <w:t xml:space="preserve">: программа национального или регионального проекта.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Номинал ЦФА</w:t>
      </w:r>
      <w:r>
        <w:t xml:space="preserve">: рассчитывается автоматически как 50% от оценочной стоимости.</w:t>
      </w:r>
    </w:p>
    <w:p>
      <w:pPr>
        <w:pStyle w:val="BodyText"/>
      </w:pPr>
      <w:r>
        <w:t xml:space="preserve">Просмотрите расчётные параметры: ставка вознаграждения, доход за весь срок, эскроу-агент (Банк России), страхование, регистратор обременения (Росреестр).</w:t>
      </w:r>
    </w:p>
    <w:p>
      <w:pPr>
        <w:pStyle w:val="BodyText"/>
      </w:pPr>
      <w:r>
        <w:t xml:space="preserve">Нажмите «Подписать (УКЭП)». На вашу телефонную линию придёт SMS-код. Введите 6-значный код или подтвердите биометрией.</w:t>
      </w:r>
    </w:p>
    <w:p>
      <w:pPr>
        <w:pStyle w:val="BodyText"/>
      </w:pPr>
      <w:r>
        <w:t xml:space="preserve">После успешного подписания вы увидите экран «ЦФА успешно выпущен» с уникальным идентификатором ЦФА. ЦФА передан в Банк России, обременение зарегистрировано в ЕГРН.</w:t>
      </w:r>
    </w:p>
    <w:bookmarkEnd w:id="24"/>
    <w:bookmarkStart w:id="25" w:name="управление-портфелем-цфа"/>
    <w:p>
      <w:pPr>
        <w:pStyle w:val="Heading3"/>
      </w:pPr>
      <w:r>
        <w:t xml:space="preserve">3.5. Управление портфелем ЦФА</w:t>
      </w:r>
    </w:p>
    <w:p>
      <w:pPr>
        <w:pStyle w:val="FirstParagraph"/>
      </w:pPr>
      <w:r>
        <w:t xml:space="preserve">В разделе «Мои ЦФА» доступен полный список ваших ЦФА с фильтрацией: Все, Активные, На выпуске, Завершённые. По каждому ЦФА показаны:</w:t>
      </w:r>
      <w:r>
        <w:t xml:space="preserve"> </w:t>
      </w:r>
      <w:r>
        <w:t xml:space="preserve">- ID (уникальный идентификатор);</w:t>
      </w:r>
      <w:r>
        <w:t xml:space="preserve"> </w:t>
      </w:r>
      <w:r>
        <w:t xml:space="preserve">- Номинал;</w:t>
      </w:r>
      <w:r>
        <w:t xml:space="preserve"> </w:t>
      </w:r>
      <w:r>
        <w:t xml:space="preserve">- Связанный актив;</w:t>
      </w:r>
      <w:r>
        <w:t xml:space="preserve"> </w:t>
      </w:r>
      <w:r>
        <w:t xml:space="preserve">- Целевая программа;</w:t>
      </w:r>
      <w:r>
        <w:t xml:space="preserve"> </w:t>
      </w:r>
      <w:r>
        <w:t xml:space="preserve">- Срок и ставка вознаграждения;</w:t>
      </w:r>
      <w:r>
        <w:t xml:space="preserve"> </w:t>
      </w:r>
      <w:r>
        <w:t xml:space="preserve">- Статус.</w:t>
      </w:r>
    </w:p>
    <w:p>
      <w:pPr>
        <w:pStyle w:val="BodyText"/>
      </w:pPr>
      <w:r>
        <w:t xml:space="preserve">При клике на ЦФА открывается карточка с детальной информацией: условия смарт-контракта, эскроу, выплаты, история. Доступны действия: скачать договор, запросить мену ЦФА.</w:t>
      </w:r>
    </w:p>
    <w:bookmarkEnd w:id="25"/>
    <w:bookmarkStart w:id="26" w:name="доходы"/>
    <w:p>
      <w:pPr>
        <w:pStyle w:val="Heading3"/>
      </w:pPr>
      <w:r>
        <w:t xml:space="preserve">3.6. Доходы</w:t>
      </w:r>
    </w:p>
    <w:p>
      <w:pPr>
        <w:pStyle w:val="FirstParagraph"/>
      </w:pPr>
      <w:r>
        <w:t xml:space="preserve">В разделе «Доходы»:</w:t>
      </w:r>
      <w:r>
        <w:t xml:space="preserve"> </w:t>
      </w:r>
      <w:r>
        <w:t xml:space="preserve">- Карточка баланса доходов: за год, за квартал, прогноз годовой.</w:t>
      </w:r>
      <w:r>
        <w:t xml:space="preserve"> </w:t>
      </w:r>
      <w:r>
        <w:t xml:space="preserve">- График помесячных поступлений.</w:t>
      </w:r>
      <w:r>
        <w:t xml:space="preserve"> </w:t>
      </w:r>
      <w:r>
        <w:t xml:space="preserve">- Список выплат с привязкой к ЦФА.</w:t>
      </w:r>
    </w:p>
    <w:bookmarkEnd w:id="26"/>
    <w:bookmarkStart w:id="27" w:name="история-операций"/>
    <w:p>
      <w:pPr>
        <w:pStyle w:val="Heading3"/>
      </w:pPr>
      <w:r>
        <w:t xml:space="preserve">3.7. История операций</w:t>
      </w:r>
    </w:p>
    <w:p>
      <w:pPr>
        <w:pStyle w:val="FirstParagraph"/>
      </w:pPr>
      <w:r>
        <w:t xml:space="preserve">Полный журнал операций с фильтрацией: Все, Выплаты, Выпуск ЦФА, Мена. Можно экспортировать в PDF или Excel.</w:t>
      </w:r>
    </w:p>
    <w:bookmarkEnd w:id="27"/>
    <w:bookmarkStart w:id="28" w:name="уведомления"/>
    <w:p>
      <w:pPr>
        <w:pStyle w:val="Heading3"/>
      </w:pPr>
      <w:r>
        <w:t xml:space="preserve">3.8. Уведомления</w:t>
      </w:r>
    </w:p>
    <w:p>
      <w:pPr>
        <w:pStyle w:val="FirstParagraph"/>
      </w:pPr>
      <w:r>
        <w:t xml:space="preserve">Центр уведомлений содержит:</w:t>
      </w:r>
      <w:r>
        <w:t xml:space="preserve"> </w:t>
      </w:r>
      <w:r>
        <w:t xml:space="preserve">- Системные сообщения о выплатах;</w:t>
      </w:r>
      <w:r>
        <w:t xml:space="preserve"> </w:t>
      </w:r>
      <w:r>
        <w:t xml:space="preserve">- Уведомления о новых программах;</w:t>
      </w:r>
      <w:r>
        <w:t xml:space="preserve"> </w:t>
      </w:r>
      <w:r>
        <w:t xml:space="preserve">- Уведомления о результатах оценок;</w:t>
      </w:r>
      <w:r>
        <w:t xml:space="preserve"> </w:t>
      </w:r>
      <w:r>
        <w:t xml:space="preserve">- Уведомления о регистрации обременений и других событиях смарт-контракта.</w:t>
      </w:r>
    </w:p>
    <w:p>
      <w:pPr>
        <w:pStyle w:val="BodyText"/>
      </w:pPr>
      <w:r>
        <w:t xml:space="preserve">Непрочитанные уведомления помечены точкой акцента. По нажатию на колокольчик можно перейти ко всем уведомлениям. По нажатию на иконку «⊘» — все уведомления отмечаются прочитанными.</w:t>
      </w:r>
    </w:p>
    <w:bookmarkEnd w:id="28"/>
    <w:bookmarkStart w:id="29" w:name="профиль"/>
    <w:p>
      <w:pPr>
        <w:pStyle w:val="Heading3"/>
      </w:pPr>
      <w:r>
        <w:t xml:space="preserve">3.9. Профиль</w:t>
      </w:r>
    </w:p>
    <w:p>
      <w:pPr>
        <w:pStyle w:val="FirstParagraph"/>
      </w:pPr>
      <w:r>
        <w:t xml:space="preserve">В разделе «Профиль» доступны:</w:t>
      </w:r>
      <w:r>
        <w:t xml:space="preserve"> </w:t>
      </w:r>
      <w:r>
        <w:t xml:space="preserve">- Личные данные.</w:t>
      </w:r>
      <w:r>
        <w:t xml:space="preserve"> </w:t>
      </w:r>
      <w:r>
        <w:t xml:space="preserve">- Реквизиты для выплат.</w:t>
      </w:r>
      <w:r>
        <w:t xml:space="preserve"> </w:t>
      </w:r>
      <w:r>
        <w:t xml:space="preserve">- Мои документы.</w:t>
      </w:r>
      <w:r>
        <w:t xml:space="preserve"> </w:t>
      </w:r>
      <w:r>
        <w:t xml:space="preserve">- Уведомления.</w:t>
      </w:r>
      <w:r>
        <w:t xml:space="preserve"> </w:t>
      </w:r>
      <w:r>
        <w:t xml:space="preserve">- Документы платформы.</w:t>
      </w:r>
      <w:r>
        <w:t xml:space="preserve"> </w:t>
      </w:r>
      <w:r>
        <w:t xml:space="preserve">- Помощь и поддержка.</w:t>
      </w:r>
      <w:r>
        <w:t xml:space="preserve"> </w:t>
      </w:r>
      <w:r>
        <w:t xml:space="preserve">- Выход из аккаунта.</w:t>
      </w:r>
    </w:p>
    <w:bookmarkEnd w:id="29"/>
    <w:bookmarkStart w:id="30" w:name="настройки"/>
    <w:p>
      <w:pPr>
        <w:pStyle w:val="Heading3"/>
      </w:pPr>
      <w:r>
        <w:t xml:space="preserve">3.10. Настройки</w:t>
      </w:r>
    </w:p>
    <w:p>
      <w:pPr>
        <w:pStyle w:val="FirstParagraph"/>
      </w:pPr>
      <w:r>
        <w:t xml:space="preserve">Доступны: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Язык</w:t>
      </w:r>
      <w:r>
        <w:t xml:space="preserve">: русский (по умолчанию), английский, французский, арабский.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Тема оформления</w:t>
      </w:r>
      <w:r>
        <w:t xml:space="preserve">: светлая, тёмная, мягкая, контрастная для слабовидящих.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Размер шрифта</w:t>
      </w:r>
      <w:r>
        <w:t xml:space="preserve">: уменьшить, обычный, увеличить.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Безопасность</w:t>
      </w:r>
      <w:r>
        <w:t xml:space="preserve">: биометрия, PIN-код, двухфакторная аутентификация.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Уведомления</w:t>
      </w:r>
      <w:r>
        <w:t xml:space="preserve">: push-уведомления.</w:t>
      </w:r>
    </w:p>
    <w:bookmarkEnd w:id="30"/>
    <w:bookmarkStart w:id="31" w:name="документы-платформы"/>
    <w:p>
      <w:pPr>
        <w:pStyle w:val="Heading3"/>
      </w:pPr>
      <w:r>
        <w:t xml:space="preserve">3.11. Документы платформы</w:t>
      </w:r>
    </w:p>
    <w:p>
      <w:pPr>
        <w:pStyle w:val="FirstParagraph"/>
      </w:pPr>
      <w:r>
        <w:t xml:space="preserve">Раздел содержит ссылки на полную документацию проекта ЦП РСФСР: хаб документов, большая презентация, малая презентация, веб-сайт, юридический фундамент, международная оценка, DD-аудит, экспертное заключение.</w:t>
      </w:r>
    </w:p>
    <w:bookmarkEnd w:id="31"/>
    <w:bookmarkStart w:id="32" w:name="поддержка"/>
    <w:p>
      <w:pPr>
        <w:pStyle w:val="Heading3"/>
      </w:pPr>
      <w:r>
        <w:t xml:space="preserve">3.12. Поддержка</w:t>
      </w:r>
    </w:p>
    <w:p>
      <w:pPr>
        <w:pStyle w:val="FirstParagraph"/>
      </w:pPr>
      <w:r>
        <w:t xml:space="preserve">Доступны: FAQ, чат с оператором, телефон поддержки, форма обратной связи.</w:t>
      </w:r>
    </w:p>
    <w:bookmarkEnd w:id="32"/>
    <w:bookmarkEnd w:id="33"/>
    <w:bookmarkStart w:id="36" w:name="сообщения-оператору"/>
    <w:p>
      <w:pPr>
        <w:pStyle w:val="Heading2"/>
      </w:pPr>
      <w:r>
        <w:t xml:space="preserve">4. Сообщения оператору</w:t>
      </w:r>
    </w:p>
    <w:bookmarkStart w:id="34" w:name="виды-сообщений"/>
    <w:p>
      <w:pPr>
        <w:pStyle w:val="Heading3"/>
      </w:pPr>
      <w:r>
        <w:t xml:space="preserve">4.1. Виды сообщений</w:t>
      </w:r>
    </w:p>
    <w:p>
      <w:pPr>
        <w:pStyle w:val="Compact"/>
        <w:numPr>
          <w:ilvl w:val="0"/>
          <w:numId w:val="1003"/>
        </w:numPr>
      </w:pPr>
      <w:r>
        <w:t xml:space="preserve">Push-уведомления — отображаются на главном экране устройства.</w:t>
      </w:r>
    </w:p>
    <w:p>
      <w:pPr>
        <w:pStyle w:val="Compact"/>
        <w:numPr>
          <w:ilvl w:val="0"/>
          <w:numId w:val="1003"/>
        </w:numPr>
      </w:pPr>
      <w:r>
        <w:t xml:space="preserve">In-app уведомления — отображаются в центре уведомлений.</w:t>
      </w:r>
    </w:p>
    <w:p>
      <w:pPr>
        <w:pStyle w:val="Compact"/>
        <w:numPr>
          <w:ilvl w:val="0"/>
          <w:numId w:val="1003"/>
        </w:numPr>
      </w:pPr>
      <w:r>
        <w:t xml:space="preserve">Сообщения от Госуслуг — отображаются в стандартном сервисе Госуслуг.</w:t>
      </w:r>
    </w:p>
    <w:bookmarkEnd w:id="34"/>
    <w:bookmarkStart w:id="35" w:name="действия-по-сообщениям"/>
    <w:p>
      <w:pPr>
        <w:pStyle w:val="Heading3"/>
      </w:pPr>
      <w:r>
        <w:t xml:space="preserve">4.2. Действия по сообщениям</w:t>
      </w:r>
    </w:p>
    <w:p>
      <w:pPr>
        <w:pStyle w:val="FirstParagraph"/>
      </w:pPr>
      <w:r>
        <w:t xml:space="preserve">Каждое уведомление содержит призыв к действию (например, «Подтвердить выплату», «Запустить выпуск ЦФА»). Перейдите по уведомлению, чтобы открыть соответствующий экран.</w:t>
      </w:r>
    </w:p>
    <w:bookmarkEnd w:id="35"/>
    <w:bookmarkEnd w:id="36"/>
    <w:bookmarkStart w:id="37" w:name="сообщения-об-ошибках"/>
    <w:p>
      <w:pPr>
        <w:pStyle w:val="Heading2"/>
      </w:pPr>
      <w:r>
        <w:t xml:space="preserve">5. Сообщения об ошибках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</w:pPr>
            <w:r>
              <w:t xml:space="preserve">Действие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Не удалось подтвердить личность через Госуслуги</w:t>
            </w:r>
          </w:p>
        </w:tc>
        <w:tc>
          <w:tcPr/>
          <w:p>
            <w:pPr>
              <w:pStyle w:val="Compact"/>
            </w:pPr>
            <w:r>
              <w:t xml:space="preserve">Повторите попытку, проверьте доступ к Госуслугам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AUTH-02</w:t>
            </w:r>
          </w:p>
        </w:tc>
        <w:tc>
          <w:tcPr/>
          <w:p>
            <w:pPr>
              <w:pStyle w:val="Compact"/>
            </w:pPr>
            <w:r>
              <w:t xml:space="preserve">Биометрия не подтверждена</w:t>
            </w:r>
          </w:p>
        </w:tc>
        <w:tc>
          <w:tcPr/>
          <w:p>
            <w:pPr>
              <w:pStyle w:val="Compact"/>
            </w:pPr>
            <w:r>
              <w:t xml:space="preserve">Введите код подтверждения или подтвердите через ЕБС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ASSET-01</w:t>
            </w:r>
          </w:p>
        </w:tc>
        <w:tc>
          <w:tcPr/>
          <w:p>
            <w:pPr>
              <w:pStyle w:val="Compact"/>
            </w:pPr>
            <w:r>
              <w:t xml:space="preserve">Объект не найден в ЕГРН</w:t>
            </w:r>
          </w:p>
        </w:tc>
        <w:tc>
          <w:tcPr/>
          <w:p>
            <w:pPr>
              <w:pStyle w:val="Compact"/>
            </w:pPr>
            <w:r>
              <w:t xml:space="preserve">Проверьте корректность кадастрового номера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ASSET-02</w:t>
            </w:r>
          </w:p>
        </w:tc>
        <w:tc>
          <w:tcPr/>
          <w:p>
            <w:pPr>
              <w:pStyle w:val="Compact"/>
            </w:pPr>
            <w:r>
              <w:t xml:space="preserve">Объект уже находится в залоге у другой организации</w:t>
            </w:r>
          </w:p>
        </w:tc>
        <w:tc>
          <w:tcPr/>
          <w:p>
            <w:pPr>
              <w:pStyle w:val="Compact"/>
            </w:pPr>
            <w:r>
              <w:t xml:space="preserve">Снимите предыдущее обременение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CFA-01</w:t>
            </w:r>
          </w:p>
        </w:tc>
        <w:tc>
          <w:tcPr/>
          <w:p>
            <w:pPr>
              <w:pStyle w:val="Compact"/>
            </w:pPr>
            <w:r>
              <w:t xml:space="preserve">Не удалось выпустить ЦФА</w:t>
            </w:r>
          </w:p>
        </w:tc>
        <w:tc>
          <w:tcPr/>
          <w:p>
            <w:pPr>
              <w:pStyle w:val="Compact"/>
            </w:pPr>
            <w:r>
              <w:t xml:space="preserve">Свяжитесь с поддержкой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NET-01</w:t>
            </w:r>
          </w:p>
        </w:tc>
        <w:tc>
          <w:tcPr/>
          <w:p>
            <w:pPr>
              <w:pStyle w:val="Compact"/>
            </w:pPr>
            <w:r>
              <w:t xml:space="preserve">Нет соединения с сервером</w:t>
            </w:r>
          </w:p>
        </w:tc>
        <w:tc>
          <w:tcPr/>
          <w:p>
            <w:pPr>
              <w:pStyle w:val="Compact"/>
            </w:pPr>
            <w:r>
              <w:t xml:space="preserve">Проверьте интернет; данные восстановятся после восстановления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SIGN-01</w:t>
            </w:r>
          </w:p>
        </w:tc>
        <w:tc>
          <w:tcPr/>
          <w:p>
            <w:pPr>
              <w:pStyle w:val="Compact"/>
            </w:pPr>
            <w:r>
              <w:t xml:space="preserve">Электронная подпись отклонена</w:t>
            </w:r>
          </w:p>
        </w:tc>
        <w:tc>
          <w:tcPr/>
          <w:p>
            <w:pPr>
              <w:pStyle w:val="Compact"/>
            </w:pPr>
            <w:r>
              <w:t xml:space="preserve">Проверьте срок действия сертификата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 требованиям ГОСТ 19.505-79 «Руководство оператора».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2026-05-23T23:01:26Z</dcterms:created>
  <dcterms:modified xsi:type="dcterms:W3CDTF">2026-05-23T23:01:26Z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