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api-и-интеграции"/>
    <w:p>
      <w:pPr>
        <w:pStyle w:val="Heading1"/>
      </w:pPr>
      <w:r>
        <w:t xml:space="preserve">API и интеграции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РСФСР.МП.07.API</w:t>
      </w:r>
    </w:p>
    <w:p>
      <w:r>
        <w:pict>
          <v:rect style="width:0;height:1.5pt" o:hralign="center" o:hrstd="t" o:hr="t"/>
        </w:pict>
      </w:r>
    </w:p>
    <w:bookmarkEnd w:id="9"/>
    <w:bookmarkStart w:id="10" w:name="принципы-взаимодействия"/>
    <w:p>
      <w:pPr>
        <w:pStyle w:val="Heading2"/>
      </w:pPr>
      <w:r>
        <w:t xml:space="preserve">1. Принципы взаимодействия</w:t>
      </w:r>
    </w:p>
    <w:p>
      <w:pPr>
        <w:pStyle w:val="Compact"/>
        <w:numPr>
          <w:ilvl w:val="0"/>
          <w:numId w:val="1001"/>
        </w:numPr>
      </w:pPr>
      <w:r>
        <w:t xml:space="preserve">REST-архитектура, JSON-форматы.</w:t>
      </w:r>
    </w:p>
    <w:p>
      <w:pPr>
        <w:pStyle w:val="Compact"/>
        <w:numPr>
          <w:ilvl w:val="0"/>
          <w:numId w:val="1001"/>
        </w:numPr>
      </w:pPr>
      <w:r>
        <w:t xml:space="preserve">Аутентификация: OAuth 2.1 (PKCE) + JWT с ГОСТ-подписью.</w:t>
      </w:r>
    </w:p>
    <w:p>
      <w:pPr>
        <w:pStyle w:val="Compact"/>
        <w:numPr>
          <w:ilvl w:val="0"/>
          <w:numId w:val="1001"/>
        </w:numPr>
      </w:pPr>
      <w:r>
        <w:t xml:space="preserve">TLS 1.3 с ГОСТ-сертификатами (КриптоПро TLS).</w:t>
      </w:r>
    </w:p>
    <w:p>
      <w:pPr>
        <w:pStyle w:val="Compact"/>
        <w:numPr>
          <w:ilvl w:val="0"/>
          <w:numId w:val="1001"/>
        </w:numPr>
      </w:pPr>
      <w:r>
        <w:t xml:space="preserve">mTLS для критичных операций.</w:t>
      </w:r>
    </w:p>
    <w:p>
      <w:pPr>
        <w:pStyle w:val="Compact"/>
        <w:numPr>
          <w:ilvl w:val="0"/>
          <w:numId w:val="1001"/>
        </w:numPr>
      </w:pPr>
      <w:r>
        <w:t xml:space="preserve">Rate limiting на стороне сервера: 100 запросов в минуту на пользователя.</w:t>
      </w:r>
    </w:p>
    <w:bookmarkEnd w:id="10"/>
    <w:bookmarkStart w:id="11" w:name="базовые-url"/>
    <w:p>
      <w:pPr>
        <w:pStyle w:val="Heading2"/>
      </w:pPr>
      <w:r>
        <w:t xml:space="preserve">2. Базовые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https://api.rsfsr.gov.ru/v1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https://api-staging.rsfsr.gov.ru/v1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https://api-pre.rsfsr.gov.ru/v1</w:t>
            </w:r>
          </w:p>
        </w:tc>
      </w:tr>
    </w:tbl>
    <w:bookmarkEnd w:id="11"/>
    <w:bookmarkStart w:id="17" w:name="аутентификация"/>
    <w:p>
      <w:pPr>
        <w:pStyle w:val="Heading2"/>
      </w:pPr>
      <w:r>
        <w:t xml:space="preserve">3. Аутентификация</w:t>
      </w:r>
    </w:p>
    <w:bookmarkStart w:id="12" w:name="post-authesiainit"/>
    <w:p>
      <w:pPr>
        <w:pStyle w:val="Heading3"/>
      </w:pPr>
      <w:r>
        <w:t xml:space="preserve">POST /auth/esia/init</w:t>
      </w:r>
    </w:p>
    <w:p>
      <w:pPr>
        <w:pStyle w:val="FirstParagraph"/>
      </w:pPr>
      <w:r>
        <w:t xml:space="preserve">Инициация авторизации через ЕСИА.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"ru.rsfsr.app://auth/callback"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"code_challenge_method"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"https://esia.gosuslugi.ru/aas/oauth2/v3/ac?..."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post-authesiacallback"/>
    <w:p>
      <w:pPr>
        <w:pStyle w:val="Heading3"/>
      </w:pPr>
      <w:r>
        <w:t xml:space="preserve">POST /auth/esia/callback</w:t>
      </w:r>
    </w:p>
    <w:p>
      <w:pPr>
        <w:pStyle w:val="FirstParagraph"/>
      </w:pPr>
      <w:r>
        <w:t xml:space="preserve">Завершение авторизации через ЕСИА.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"code_verifier"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post-authrefresh"/>
    <w:p>
      <w:pPr>
        <w:pStyle w:val="Heading3"/>
      </w:pPr>
      <w:r>
        <w:t xml:space="preserve">POST /auth/refresh</w:t>
      </w:r>
    </w:p>
    <w:p>
      <w:pPr>
        <w:pStyle w:val="FirstParagraph"/>
      </w:pPr>
      <w:r>
        <w:t xml:space="preserve">Обновление access-токена.</w:t>
      </w:r>
    </w:p>
    <w:bookmarkEnd w:id="14"/>
    <w:bookmarkStart w:id="15" w:name="post-authbiometric"/>
    <w:p>
      <w:pPr>
        <w:pStyle w:val="Heading3"/>
      </w:pPr>
      <w:r>
        <w:t xml:space="preserve">POST /auth/biometric</w:t>
      </w:r>
    </w:p>
    <w:p>
      <w:pPr>
        <w:pStyle w:val="FirstParagraph"/>
      </w:pPr>
      <w:r>
        <w:t xml:space="preserve">Авторизация через ЕБС.</w:t>
      </w:r>
    </w:p>
    <w:bookmarkEnd w:id="15"/>
    <w:bookmarkStart w:id="16" w:name="post-authlogout"/>
    <w:p>
      <w:pPr>
        <w:pStyle w:val="Heading3"/>
      </w:pPr>
      <w:r>
        <w:t xml:space="preserve">POST /auth/logout</w:t>
      </w:r>
    </w:p>
    <w:p>
      <w:pPr>
        <w:pStyle w:val="FirstParagraph"/>
      </w:pPr>
      <w:r>
        <w:t xml:space="preserve">Завершение сессии.</w:t>
      </w:r>
    </w:p>
    <w:bookmarkEnd w:id="16"/>
    <w:bookmarkEnd w:id="17"/>
    <w:bookmarkStart w:id="22" w:name="профиль-пользователя"/>
    <w:p>
      <w:pPr>
        <w:pStyle w:val="Heading2"/>
      </w:pPr>
      <w:r>
        <w:t xml:space="preserve">4. Профиль пользователя</w:t>
      </w:r>
    </w:p>
    <w:bookmarkStart w:id="18" w:name="get-me"/>
    <w:p>
      <w:pPr>
        <w:pStyle w:val="Heading3"/>
      </w:pPr>
      <w:r>
        <w:t xml:space="preserve">GET /me</w:t>
      </w:r>
    </w:p>
    <w:p>
      <w:pPr>
        <w:pStyle w:val="FirstParagraph"/>
      </w:pPr>
      <w:r>
        <w:t xml:space="preserve">Получение данных текущего пользователя.</w:t>
      </w:r>
    </w:p>
    <w:bookmarkEnd w:id="18"/>
    <w:bookmarkStart w:id="19" w:name="patch-me"/>
    <w:p>
      <w:pPr>
        <w:pStyle w:val="Heading3"/>
      </w:pPr>
      <w:r>
        <w:t xml:space="preserve">PATCH /me</w:t>
      </w:r>
    </w:p>
    <w:p>
      <w:pPr>
        <w:pStyle w:val="FirstParagraph"/>
      </w:pPr>
      <w:r>
        <w:t xml:space="preserve">Обновление контактных данных и настроек.</w:t>
      </w:r>
    </w:p>
    <w:bookmarkEnd w:id="19"/>
    <w:bookmarkStart w:id="20" w:name="post-mekyc"/>
    <w:p>
      <w:pPr>
        <w:pStyle w:val="Heading3"/>
      </w:pPr>
      <w:r>
        <w:t xml:space="preserve">POST /me/kyc</w:t>
      </w:r>
    </w:p>
    <w:p>
      <w:pPr>
        <w:pStyle w:val="FirstParagraph"/>
      </w:pPr>
      <w:r>
        <w:t xml:space="preserve">Прохождение KYC-проверки.</w:t>
      </w:r>
    </w:p>
    <w:bookmarkEnd w:id="20"/>
    <w:bookmarkStart w:id="21" w:name="get-medocuments"/>
    <w:p>
      <w:pPr>
        <w:pStyle w:val="Heading3"/>
      </w:pPr>
      <w:r>
        <w:t xml:space="preserve">GET /me/documents</w:t>
      </w:r>
    </w:p>
    <w:p>
      <w:pPr>
        <w:pStyle w:val="FirstParagraph"/>
      </w:pPr>
      <w:r>
        <w:t xml:space="preserve">Список документов пользователя.</w:t>
      </w:r>
    </w:p>
    <w:bookmarkEnd w:id="21"/>
    <w:bookmarkEnd w:id="22"/>
    <w:bookmarkStart w:id="29" w:name="активы"/>
    <w:p>
      <w:pPr>
        <w:pStyle w:val="Heading2"/>
      </w:pPr>
      <w:r>
        <w:t xml:space="preserve">5. Активы</w:t>
      </w:r>
    </w:p>
    <w:bookmarkStart w:id="23" w:name="get-assets"/>
    <w:p>
      <w:pPr>
        <w:pStyle w:val="Heading3"/>
      </w:pPr>
      <w:r>
        <w:t xml:space="preserve">GET /assets</w:t>
      </w:r>
    </w:p>
    <w:p>
      <w:pPr>
        <w:pStyle w:val="FirstParagraph"/>
      </w:pPr>
      <w:r>
        <w:t xml:space="preserve">Список активов пользователя с фильтрацией и пагинацией.</w:t>
      </w:r>
    </w:p>
    <w:p>
      <w:pPr>
        <w:pStyle w:val="BodyText"/>
      </w:pPr>
      <w:r>
        <w:rPr>
          <w:b/>
          <w:bCs/>
        </w:rPr>
        <w:t xml:space="preserve">Параметры запроса: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тип актива (real, land, vehicle, ip, securities).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статус (draft, valuation, active, returned).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bookmarkEnd w:id="23"/>
    <w:bookmarkStart w:id="24" w:name="post-assets"/>
    <w:p>
      <w:pPr>
        <w:pStyle w:val="Heading3"/>
      </w:pPr>
      <w:r>
        <w:t xml:space="preserve">POST /assets</w:t>
      </w:r>
    </w:p>
    <w:p>
      <w:pPr>
        <w:pStyle w:val="FirstParagraph"/>
      </w:pPr>
      <w:r>
        <w:t xml:space="preserve">Подача нового актива на залог.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"kadastr"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"77:01:0001000:1234"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"ownership_doc_type"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"ownership_doc_attachments"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"doc-uuid-1"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get-assetsid"/>
    <w:p>
      <w:pPr>
        <w:pStyle w:val="Heading3"/>
      </w:pPr>
      <w:r>
        <w:t xml:space="preserve">GET /assets/{id}</w:t>
      </w:r>
    </w:p>
    <w:p>
      <w:pPr>
        <w:pStyle w:val="FirstParagraph"/>
      </w:pPr>
      <w:r>
        <w:t xml:space="preserve">Получение детальной информации об активе.</w:t>
      </w:r>
    </w:p>
    <w:bookmarkEnd w:id="25"/>
    <w:bookmarkStart w:id="26" w:name="post-assetsidvaluation"/>
    <w:p>
      <w:pPr>
        <w:pStyle w:val="Heading3"/>
      </w:pPr>
      <w:r>
        <w:t xml:space="preserve">POST /assets/{id}/valuation</w:t>
      </w:r>
    </w:p>
    <w:p>
      <w:pPr>
        <w:pStyle w:val="FirstParagraph"/>
      </w:pPr>
      <w:r>
        <w:t xml:space="preserve">Запрос на оценку актива.</w:t>
      </w:r>
    </w:p>
    <w:bookmarkEnd w:id="26"/>
    <w:bookmarkStart w:id="27" w:name="get-assetsidvaluation"/>
    <w:p>
      <w:pPr>
        <w:pStyle w:val="Heading3"/>
      </w:pPr>
      <w:r>
        <w:t xml:space="preserve">GET /assets/{id}/valuation</w:t>
      </w:r>
    </w:p>
    <w:p>
      <w:pPr>
        <w:pStyle w:val="FirstParagraph"/>
      </w:pPr>
      <w:r>
        <w:t xml:space="preserve">Получение результата оценки.</w:t>
      </w:r>
    </w:p>
    <w:bookmarkEnd w:id="27"/>
    <w:bookmarkStart w:id="28" w:name="delete-assetsid"/>
    <w:p>
      <w:pPr>
        <w:pStyle w:val="Heading3"/>
      </w:pPr>
      <w:r>
        <w:t xml:space="preserve">DELETE /assets/{id}</w:t>
      </w:r>
    </w:p>
    <w:p>
      <w:pPr>
        <w:pStyle w:val="FirstParagraph"/>
      </w:pPr>
      <w:r>
        <w:t xml:space="preserve">Отзыв заявки (только для статуса draft).</w:t>
      </w:r>
    </w:p>
    <w:bookmarkEnd w:id="28"/>
    <w:bookmarkEnd w:id="29"/>
    <w:bookmarkStart w:id="34" w:name="смарт-контракты"/>
    <w:p>
      <w:pPr>
        <w:pStyle w:val="Heading2"/>
      </w:pPr>
      <w:r>
        <w:t xml:space="preserve">6. Смарт-контракты</w:t>
      </w:r>
    </w:p>
    <w:bookmarkStart w:id="30" w:name="post-contracts"/>
    <w:p>
      <w:pPr>
        <w:pStyle w:val="Heading3"/>
      </w:pPr>
      <w:r>
        <w:t xml:space="preserve">POST /contracts</w:t>
      </w:r>
    </w:p>
    <w:p>
      <w:pPr>
        <w:pStyle w:val="FirstParagraph"/>
      </w:pPr>
      <w:r>
        <w:t xml:space="preserve">Создание смарт-контракта на основе оценённого актива.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8200000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get-contractsid"/>
    <w:p>
      <w:pPr>
        <w:pStyle w:val="Heading3"/>
      </w:pPr>
      <w:r>
        <w:t xml:space="preserve">GET /contracts/{id}</w:t>
      </w:r>
    </w:p>
    <w:p>
      <w:pPr>
        <w:pStyle w:val="FirstParagraph"/>
      </w:pPr>
      <w:r>
        <w:t xml:space="preserve">Получение текста смарт-контракта в формате PDF и его параметров.</w:t>
      </w:r>
    </w:p>
    <w:bookmarkEnd w:id="31"/>
    <w:bookmarkStart w:id="32" w:name="post-contractsidsign"/>
    <w:p>
      <w:pPr>
        <w:pStyle w:val="Heading3"/>
      </w:pPr>
      <w:r>
        <w:t xml:space="preserve">POST /contracts/{id}/sign</w:t>
      </w:r>
    </w:p>
    <w:p>
      <w:pPr>
        <w:pStyle w:val="FirstParagraph"/>
      </w:pPr>
      <w:r>
        <w:t xml:space="preserve">Подписание смарт-контракта.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"uke_token"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"742369"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post-contractsidcancel"/>
    <w:p>
      <w:pPr>
        <w:pStyle w:val="Heading3"/>
      </w:pPr>
      <w:r>
        <w:t xml:space="preserve">POST /contracts/{id}/cancel</w:t>
      </w:r>
    </w:p>
    <w:p>
      <w:pPr>
        <w:pStyle w:val="FirstParagraph"/>
      </w:pPr>
      <w:r>
        <w:t xml:space="preserve">Отзыв подписанного контракта (только до выпуска ЦФА).</w:t>
      </w:r>
    </w:p>
    <w:bookmarkEnd w:id="33"/>
    <w:bookmarkEnd w:id="34"/>
    <w:bookmarkStart w:id="40" w:name="цифровые-финансовые-активы"/>
    <w:p>
      <w:pPr>
        <w:pStyle w:val="Heading2"/>
      </w:pPr>
      <w:r>
        <w:t xml:space="preserve">7. Цифровые финансовые активы</w:t>
      </w:r>
    </w:p>
    <w:bookmarkStart w:id="35" w:name="get-cfas"/>
    <w:p>
      <w:pPr>
        <w:pStyle w:val="Heading3"/>
      </w:pPr>
      <w:r>
        <w:t xml:space="preserve">GET /cfas</w:t>
      </w:r>
    </w:p>
    <w:p>
      <w:pPr>
        <w:pStyle w:val="FirstParagraph"/>
      </w:pPr>
      <w:r>
        <w:t xml:space="preserve">Список ЦФА пользователя.</w:t>
      </w:r>
    </w:p>
    <w:bookmarkEnd w:id="35"/>
    <w:bookmarkStart w:id="36" w:name="get-cfasid"/>
    <w:p>
      <w:pPr>
        <w:pStyle w:val="Heading3"/>
      </w:pPr>
      <w:r>
        <w:t xml:space="preserve">GET /cfas/{id}</w:t>
      </w:r>
    </w:p>
    <w:p>
      <w:pPr>
        <w:pStyle w:val="FirstParagraph"/>
      </w:pPr>
      <w:r>
        <w:t xml:space="preserve">Карточка ЦФА с условиями, выплатами, статусом в Банке России.</w:t>
      </w:r>
    </w:p>
    <w:bookmarkEnd w:id="36"/>
    <w:bookmarkStart w:id="37" w:name="post-cfasidexchange-request"/>
    <w:p>
      <w:pPr>
        <w:pStyle w:val="Heading3"/>
      </w:pPr>
      <w:r>
        <w:t xml:space="preserve">POST /cfas/{id}/exchange-request</w:t>
      </w:r>
    </w:p>
    <w:p>
      <w:pPr>
        <w:pStyle w:val="FirstParagraph"/>
      </w:pPr>
      <w:r>
        <w:t xml:space="preserve">Запрос на мену ЦФА (досрочная).</w:t>
      </w:r>
    </w:p>
    <w:bookmarkEnd w:id="37"/>
    <w:bookmarkStart w:id="38" w:name="get-cfasidcontract.pdf"/>
    <w:p>
      <w:pPr>
        <w:pStyle w:val="Heading3"/>
      </w:pPr>
      <w:r>
        <w:t xml:space="preserve">GET /cfas/{id}/contract.pdf</w:t>
      </w:r>
    </w:p>
    <w:p>
      <w:pPr>
        <w:pStyle w:val="FirstParagraph"/>
      </w:pPr>
      <w:r>
        <w:t xml:space="preserve">Скачивание текста смарт-контракта.</w:t>
      </w:r>
    </w:p>
    <w:bookmarkEnd w:id="38"/>
    <w:bookmarkStart w:id="39" w:name="get-cfasidevents"/>
    <w:p>
      <w:pPr>
        <w:pStyle w:val="Heading3"/>
      </w:pPr>
      <w:r>
        <w:t xml:space="preserve">GET /cfas/{id}/events</w:t>
      </w:r>
    </w:p>
    <w:p>
      <w:pPr>
        <w:pStyle w:val="FirstParagraph"/>
      </w:pPr>
      <w:r>
        <w:t xml:space="preserve">История событий по ЦФА (выпуск, мена, выплаты, страховые случаи).</w:t>
      </w:r>
    </w:p>
    <w:bookmarkEnd w:id="39"/>
    <w:bookmarkEnd w:id="40"/>
    <w:bookmarkStart w:id="46" w:name="доходы-и-история"/>
    <w:p>
      <w:pPr>
        <w:pStyle w:val="Heading2"/>
      </w:pPr>
      <w:r>
        <w:t xml:space="preserve">8. Доходы и история</w:t>
      </w:r>
    </w:p>
    <w:bookmarkStart w:id="41" w:name="get-income"/>
    <w:p>
      <w:pPr>
        <w:pStyle w:val="Heading3"/>
      </w:pPr>
      <w:r>
        <w:t xml:space="preserve">GET /income</w:t>
      </w:r>
    </w:p>
    <w:p>
      <w:pPr>
        <w:pStyle w:val="FirstParagraph"/>
      </w:pPr>
      <w:r>
        <w:t xml:space="preserve">Сводка доходов за период.</w:t>
      </w:r>
    </w:p>
    <w:p>
      <w:pPr>
        <w:pStyle w:val="BodyText"/>
      </w:pPr>
      <w:r>
        <w:rPr>
          <w:b/>
          <w:bCs/>
        </w:rPr>
        <w:t xml:space="preserve">Параметры запроса: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— диапазон дат.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cfa_id</w:t>
      </w:r>
      <w:r>
        <w:t xml:space="preserve"> </w:t>
      </w:r>
      <w:r>
        <w:t xml:space="preserve">— фильтр по конкретному ЦФА.</w:t>
      </w:r>
    </w:p>
    <w:bookmarkEnd w:id="41"/>
    <w:bookmarkStart w:id="42" w:name="get-incomechart"/>
    <w:p>
      <w:pPr>
        <w:pStyle w:val="Heading3"/>
      </w:pPr>
      <w:r>
        <w:t xml:space="preserve">GET /income/chart</w:t>
      </w:r>
    </w:p>
    <w:p>
      <w:pPr>
        <w:pStyle w:val="FirstParagraph"/>
      </w:pPr>
      <w:r>
        <w:t xml:space="preserve">Данные для графика помесячных поступлений.</w:t>
      </w:r>
    </w:p>
    <w:bookmarkEnd w:id="42"/>
    <w:bookmarkStart w:id="43" w:name="get-transactions"/>
    <w:p>
      <w:pPr>
        <w:pStyle w:val="Heading3"/>
      </w:pPr>
      <w:r>
        <w:t xml:space="preserve">GET /transactions</w:t>
      </w:r>
    </w:p>
    <w:p>
      <w:pPr>
        <w:pStyle w:val="FirstParagraph"/>
      </w:pPr>
      <w:r>
        <w:t xml:space="preserve">Полная история операций.</w:t>
      </w:r>
    </w:p>
    <w:bookmarkEnd w:id="43"/>
    <w:bookmarkStart w:id="44" w:name="get-transactionsid"/>
    <w:p>
      <w:pPr>
        <w:pStyle w:val="Heading3"/>
      </w:pPr>
      <w:r>
        <w:t xml:space="preserve">GET /transactions/{id}</w:t>
      </w:r>
    </w:p>
    <w:p>
      <w:pPr>
        <w:pStyle w:val="FirstParagraph"/>
      </w:pPr>
      <w:r>
        <w:t xml:space="preserve">Детальная информация о транзакции.</w:t>
      </w:r>
    </w:p>
    <w:bookmarkEnd w:id="44"/>
    <w:bookmarkStart w:id="45" w:name="get-tax-receipt"/>
    <w:p>
      <w:pPr>
        <w:pStyle w:val="Heading3"/>
      </w:pPr>
      <w:r>
        <w:t xml:space="preserve">GET /tax-receipt</w:t>
      </w:r>
    </w:p>
    <w:p>
      <w:pPr>
        <w:pStyle w:val="FirstParagraph"/>
      </w:pPr>
      <w:r>
        <w:t xml:space="preserve">Скачивание налоговой справки 2-НДФЛ за указанный период.</w:t>
      </w:r>
    </w:p>
    <w:bookmarkEnd w:id="45"/>
    <w:bookmarkEnd w:id="46"/>
    <w:bookmarkStart w:id="51" w:name="уведомления"/>
    <w:p>
      <w:pPr>
        <w:pStyle w:val="Heading2"/>
      </w:pPr>
      <w:r>
        <w:t xml:space="preserve">9. Уведомления</w:t>
      </w:r>
    </w:p>
    <w:bookmarkStart w:id="47" w:name="get-notifications"/>
    <w:p>
      <w:pPr>
        <w:pStyle w:val="Heading3"/>
      </w:pPr>
      <w:r>
        <w:t xml:space="preserve">GET /notifications</w:t>
      </w:r>
    </w:p>
    <w:p>
      <w:pPr>
        <w:pStyle w:val="FirstParagraph"/>
      </w:pPr>
      <w:r>
        <w:t xml:space="preserve">Список уведомлений пользователя.</w:t>
      </w:r>
    </w:p>
    <w:bookmarkEnd w:id="47"/>
    <w:bookmarkStart w:id="48" w:name="patch-notificationsid"/>
    <w:p>
      <w:pPr>
        <w:pStyle w:val="Heading3"/>
      </w:pPr>
      <w:r>
        <w:t xml:space="preserve">PATCH /notifications/{id}</w:t>
      </w:r>
    </w:p>
    <w:p>
      <w:pPr>
        <w:pStyle w:val="FirstParagraph"/>
      </w:pPr>
      <w:r>
        <w:t xml:space="preserve">Изменение статуса уведомления (mark as read).</w:t>
      </w:r>
    </w:p>
    <w:bookmarkEnd w:id="48"/>
    <w:bookmarkStart w:id="49" w:name="post-notificationsmark-all-read"/>
    <w:p>
      <w:pPr>
        <w:pStyle w:val="Heading3"/>
      </w:pPr>
      <w:r>
        <w:t xml:space="preserve">POST /notifications/mark-all-read</w:t>
      </w:r>
    </w:p>
    <w:p>
      <w:pPr>
        <w:pStyle w:val="FirstParagraph"/>
      </w:pPr>
      <w:r>
        <w:t xml:space="preserve">Пометить все как прочитанные.</w:t>
      </w:r>
    </w:p>
    <w:bookmarkEnd w:id="49"/>
    <w:bookmarkStart w:id="50" w:name="post-notificationssubscriptions"/>
    <w:p>
      <w:pPr>
        <w:pStyle w:val="Heading3"/>
      </w:pPr>
      <w:r>
        <w:t xml:space="preserve">POST /notifications/subscriptions</w:t>
      </w:r>
    </w:p>
    <w:p>
      <w:pPr>
        <w:pStyle w:val="FirstParagraph"/>
      </w:pPr>
      <w:r>
        <w:t xml:space="preserve">Подписка на push-уведомления через FCM/APNS.</w:t>
      </w:r>
    </w:p>
    <w:p>
      <w:pPr>
        <w:pStyle w:val="BodyText"/>
      </w:pPr>
      <w:r>
        <w:rPr>
          <w:b/>
          <w:bCs/>
        </w:rPr>
        <w:t xml:space="preserve">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bookmarkStart w:id="54" w:name="документы"/>
    <w:p>
      <w:pPr>
        <w:pStyle w:val="Heading2"/>
      </w:pPr>
      <w:r>
        <w:t xml:space="preserve">10. Документы</w:t>
      </w:r>
    </w:p>
    <w:bookmarkStart w:id="52" w:name="get-documents"/>
    <w:p>
      <w:pPr>
        <w:pStyle w:val="Heading3"/>
      </w:pPr>
      <w:r>
        <w:t xml:space="preserve">GET /documents</w:t>
      </w:r>
    </w:p>
    <w:p>
      <w:pPr>
        <w:pStyle w:val="FirstParagraph"/>
      </w:pPr>
      <w:r>
        <w:t xml:space="preserve">Каталог общедоступных документов платформы.</w:t>
      </w:r>
    </w:p>
    <w:bookmarkEnd w:id="52"/>
    <w:bookmarkStart w:id="53" w:name="get-documentsid"/>
    <w:p>
      <w:pPr>
        <w:pStyle w:val="Heading3"/>
      </w:pPr>
      <w:r>
        <w:t xml:space="preserve">GET /documents/{id}</w:t>
      </w:r>
    </w:p>
    <w:p>
      <w:pPr>
        <w:pStyle w:val="FirstParagraph"/>
      </w:pPr>
      <w:r>
        <w:t xml:space="preserve">Скачивание документа в выбранном формате (PDF, HTML, DOCX).</w:t>
      </w:r>
    </w:p>
    <w:bookmarkEnd w:id="53"/>
    <w:bookmarkEnd w:id="54"/>
    <w:bookmarkStart w:id="58" w:name="поддержка"/>
    <w:p>
      <w:pPr>
        <w:pStyle w:val="Heading2"/>
      </w:pPr>
      <w:r>
        <w:t xml:space="preserve">11. Поддержка</w:t>
      </w:r>
    </w:p>
    <w:bookmarkStart w:id="55" w:name="post-supportticket"/>
    <w:p>
      <w:pPr>
        <w:pStyle w:val="Heading3"/>
      </w:pPr>
      <w:r>
        <w:t xml:space="preserve">POST /support/ticket</w:t>
      </w:r>
    </w:p>
    <w:p>
      <w:pPr>
        <w:pStyle w:val="FirstParagraph"/>
      </w:pPr>
      <w:r>
        <w:t xml:space="preserve">Создание обращения в поддержку.</w:t>
      </w:r>
    </w:p>
    <w:bookmarkEnd w:id="55"/>
    <w:bookmarkStart w:id="56" w:name="get-supporttickets"/>
    <w:p>
      <w:pPr>
        <w:pStyle w:val="Heading3"/>
      </w:pPr>
      <w:r>
        <w:t xml:space="preserve">GET /support/tickets</w:t>
      </w:r>
    </w:p>
    <w:p>
      <w:pPr>
        <w:pStyle w:val="FirstParagraph"/>
      </w:pPr>
      <w:r>
        <w:t xml:space="preserve">История обращений пользователя.</w:t>
      </w:r>
    </w:p>
    <w:bookmarkEnd w:id="56"/>
    <w:bookmarkStart w:id="57" w:name="post-supportchat"/>
    <w:p>
      <w:pPr>
        <w:pStyle w:val="Heading3"/>
      </w:pPr>
      <w:r>
        <w:t xml:space="preserve">POST /support/chat</w:t>
      </w:r>
    </w:p>
    <w:p>
      <w:pPr>
        <w:pStyle w:val="FirstParagraph"/>
      </w:pPr>
      <w:r>
        <w:t xml:space="preserve">Сообщение в чат поддержки.</w:t>
      </w:r>
    </w:p>
    <w:bookmarkEnd w:id="57"/>
    <w:bookmarkEnd w:id="58"/>
    <w:bookmarkStart w:id="64" w:name="интеграции-с-государственными-системами"/>
    <w:p>
      <w:pPr>
        <w:pStyle w:val="Heading2"/>
      </w:pPr>
      <w:r>
        <w:t xml:space="preserve">12. Интеграции с государственными системами</w:t>
      </w:r>
    </w:p>
    <w:bookmarkStart w:id="59" w:name="есиа-госуслуги"/>
    <w:p>
      <w:pPr>
        <w:pStyle w:val="Heading3"/>
      </w:pPr>
      <w:r>
        <w:t xml:space="preserve">12.1. ЕСИА (Госуслуги)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OAuth 2.1 + OpenID Connect 1.0.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Уровень учётной записи:</w:t>
      </w:r>
      <w:r>
        <w:t xml:space="preserve"> </w:t>
      </w:r>
      <w:r>
        <w:t xml:space="preserve">Подтверждённая (УЗ-3).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Получаемые scope: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snils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id_doc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.</w:t>
      </w:r>
    </w:p>
    <w:bookmarkEnd w:id="59"/>
    <w:bookmarkStart w:id="60" w:name="единая-биометрическая-система"/>
    <w:p>
      <w:pPr>
        <w:pStyle w:val="Heading3"/>
      </w:pPr>
      <w:r>
        <w:t xml:space="preserve">12.2. Единая биометрическая система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Положение Банка России №482-П.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Типы биометрии:</w:t>
      </w:r>
      <w:r>
        <w:t xml:space="preserve"> </w:t>
      </w:r>
      <w:r>
        <w:t xml:space="preserve">лицо, голос.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идентификация и подтверждение операций.</w:t>
      </w:r>
    </w:p>
    <w:bookmarkEnd w:id="60"/>
    <w:bookmarkStart w:id="61" w:name="егрн-росреестр"/>
    <w:p>
      <w:pPr>
        <w:pStyle w:val="Heading3"/>
      </w:pPr>
      <w:r>
        <w:t xml:space="preserve">12.3. ЕГРН (Росреестр)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Регламент электронного взаимодействия с Росреестром (через серверную часть платформы).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Сценарии:</w:t>
      </w:r>
      <w:r>
        <w:t xml:space="preserve"> </w:t>
      </w:r>
      <w:r>
        <w:t xml:space="preserve">получение сведений об объекте по кадастровому номеру; регистрация и снятие обременений.</w:t>
      </w:r>
    </w:p>
    <w:bookmarkEnd w:id="61"/>
    <w:bookmarkStart w:id="62" w:name="госуслуги-личный-кабинет"/>
    <w:p>
      <w:pPr>
        <w:pStyle w:val="Heading3"/>
      </w:pPr>
      <w:r>
        <w:t xml:space="preserve">12.4. Госуслуги (личный кабинет)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получение официальных уведомлений; передача согласий на обработку ПДн.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Сценарии:</w:t>
      </w:r>
      <w:r>
        <w:t xml:space="preserve"> </w:t>
      </w:r>
      <w:r>
        <w:t xml:space="preserve">уведомления об обременении, мене, выплатах.</w:t>
      </w:r>
    </w:p>
    <w:bookmarkEnd w:id="62"/>
    <w:bookmarkStart w:id="63" w:name="нспк-мир"/>
    <w:p>
      <w:pPr>
        <w:pStyle w:val="Heading3"/>
      </w:pPr>
      <w:r>
        <w:t xml:space="preserve">12.5. НСПК (Мир)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зачисление выплат на карту «Мир».</w:t>
      </w:r>
    </w:p>
    <w:bookmarkEnd w:id="63"/>
    <w:bookmarkEnd w:id="64"/>
    <w:bookmarkStart w:id="65" w:name="форматы-ошибок"/>
    <w:p>
      <w:pPr>
        <w:pStyle w:val="Heading2"/>
      </w:pPr>
      <w:r>
        <w:t xml:space="preserve">13. Форматы ошибок</w:t>
      </w:r>
    </w:p>
    <w:p>
      <w:pPr>
        <w:pStyle w:val="FirstParagraph"/>
      </w:pPr>
      <w:r>
        <w:t xml:space="preserve">Все ошибки возвращаются в едином формате: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"Объект не найден в ЕГРН"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"kadastr"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версионирование-api"/>
    <w:p>
      <w:pPr>
        <w:pStyle w:val="Heading2"/>
      </w:pPr>
      <w:r>
        <w:t xml:space="preserve">14. Версионирование API</w:t>
      </w:r>
    </w:p>
    <w:p>
      <w:pPr>
        <w:pStyle w:val="Compact"/>
        <w:numPr>
          <w:ilvl w:val="0"/>
          <w:numId w:val="1007"/>
        </w:numPr>
      </w:pPr>
      <w:r>
        <w:t xml:space="preserve">Версия в URL:</w:t>
      </w:r>
      <w:r>
        <w:t xml:space="preserve"> </w:t>
      </w:r>
      <w:r>
        <w:rPr>
          <w:rStyle w:val="VerbatimChar"/>
        </w:rPr>
        <w:t xml:space="preserve">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/v2/</w:t>
      </w:r>
      <w:r>
        <w:t xml:space="preserve">, …</w:t>
      </w:r>
    </w:p>
    <w:p>
      <w:pPr>
        <w:pStyle w:val="Compact"/>
        <w:numPr>
          <w:ilvl w:val="0"/>
          <w:numId w:val="1007"/>
        </w:numPr>
      </w:pPr>
      <w:r>
        <w:t xml:space="preserve">Поддержка обратной совместимости в течение 12 месяцев после релиза новой версии.</w:t>
      </w:r>
    </w:p>
    <w:p>
      <w:pPr>
        <w:pStyle w:val="Compact"/>
        <w:numPr>
          <w:ilvl w:val="0"/>
          <w:numId w:val="1007"/>
        </w:numPr>
      </w:pPr>
      <w:r>
        <w:t xml:space="preserve">Уведомления о deprecation через response headers.</w:t>
      </w:r>
    </w:p>
    <w:bookmarkEnd w:id="66"/>
    <w:bookmarkStart w:id="67" w:name="документация-api"/>
    <w:p>
      <w:pPr>
        <w:pStyle w:val="Heading2"/>
      </w:pPr>
      <w:r>
        <w:t xml:space="preserve">15. Документация API</w:t>
      </w:r>
    </w:p>
    <w:p>
      <w:pPr>
        <w:pStyle w:val="Compact"/>
        <w:numPr>
          <w:ilvl w:val="0"/>
          <w:numId w:val="1008"/>
        </w:numPr>
      </w:pPr>
      <w:r>
        <w:t xml:space="preserve">OpenAPI 3.1 спецификация:</w:t>
      </w:r>
      <w:r>
        <w:t xml:space="preserve"> </w:t>
      </w:r>
      <w:r>
        <w:rPr>
          <w:rStyle w:val="VerbatimChar"/>
        </w:rPr>
        <w:t xml:space="preserve">https://api.rsfsr.gov.ru/openapi.json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Swagger UI:</w:t>
      </w:r>
      <w:r>
        <w:t xml:space="preserve"> </w:t>
      </w:r>
      <w:r>
        <w:rPr>
          <w:rStyle w:val="VerbatimChar"/>
        </w:rPr>
        <w:t xml:space="preserve">https://api.rsfsr.gov.ru/docs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Postman-коллекция: доступна по запросу для партнёров и интеграторов.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2026-05-23T23:01:26Z</dcterms:created>
  <dcterms:modified xsi:type="dcterms:W3CDTF">2026-05-23T23:01:26Z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