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модель-данных-мобильного-приложения"/>
    <w:p>
      <w:pPr>
        <w:pStyle w:val="Heading1"/>
      </w:pPr>
      <w:r>
        <w:t xml:space="preserve">Модель данных мобильного приложения</w:t>
      </w:r>
    </w:p>
    <w:bookmarkStart w:id="9" w:name="цп-рсфср"/>
    <w:p>
      <w:pPr>
        <w:pStyle w:val="Heading2"/>
      </w:pPr>
      <w:r>
        <w:t xml:space="preserve">ЦП РСФСР</w:t>
      </w:r>
    </w:p>
    <w:p>
      <w:pPr>
        <w:pStyle w:val="FirstParagraph"/>
      </w:pPr>
      <w:r>
        <w:rPr>
          <w:b/>
          <w:bCs/>
        </w:rPr>
        <w:t xml:space="preserve">Условное обозначение:</w:t>
      </w:r>
      <w:r>
        <w:t xml:space="preserve"> </w:t>
      </w:r>
      <w:r>
        <w:t xml:space="preserve">РСФСР.МП.08.МД</w:t>
      </w:r>
    </w:p>
    <w:p>
      <w:r>
        <w:pict>
          <v:rect style="width:0;height:1.5pt" o:hralign="center" o:hrstd="t" o:hr="t"/>
        </w:pict>
      </w:r>
    </w:p>
    <w:bookmarkEnd w:id="9"/>
    <w:bookmarkStart w:id="18" w:name="локальная-модель-данных-на-устройстве"/>
    <w:p>
      <w:pPr>
        <w:pStyle w:val="Heading2"/>
      </w:pPr>
      <w:r>
        <w:t xml:space="preserve">1. Локальная модель данных (на устройстве)</w:t>
      </w:r>
    </w:p>
    <w:bookmarkStart w:id="10" w:name="хранение"/>
    <w:p>
      <w:pPr>
        <w:pStyle w:val="Heading3"/>
      </w:pPr>
      <w:r>
        <w:t xml:space="preserve">1.1. Хранение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Тип данных</w:t>
            </w:r>
          </w:p>
        </w:tc>
        <w:tc>
          <w:tcPr/>
          <w:p>
            <w:pPr>
              <w:pStyle w:val="Compact"/>
            </w:pPr>
            <w:r>
              <w:t xml:space="preserve">Хранилище</w:t>
            </w:r>
          </w:p>
        </w:tc>
        <w:tc>
          <w:tcPr/>
          <w:p>
            <w:pPr>
              <w:pStyle w:val="Compact"/>
            </w:pPr>
            <w:r>
              <w:t xml:space="preserve">Шифрование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Токены, ключи, биометрические идентификаторы</w:t>
            </w:r>
          </w:p>
        </w:tc>
        <w:tc>
          <w:tcPr/>
          <w:p>
            <w:pPr>
              <w:pStyle w:val="Compact"/>
            </w:pPr>
            <w:r>
              <w:t xml:space="preserve">iOS Keychain / Android Keystore / Windows Credential Locker</w:t>
            </w:r>
          </w:p>
        </w:tc>
        <w:tc>
          <w:tcPr/>
          <w:p>
            <w:pPr>
              <w:pStyle w:val="Compact"/>
            </w:pPr>
            <w:r>
              <w:t xml:space="preserve">средствами ОС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Настройки приложения</w:t>
            </w:r>
          </w:p>
        </w:tc>
        <w:tc>
          <w:tcPr/>
          <w:p>
            <w:pPr>
              <w:pStyle w:val="Compact"/>
            </w:pPr>
            <w:r>
              <w:t xml:space="preserve">LocalStorage</w:t>
            </w:r>
          </w:p>
        </w:tc>
        <w:tc>
          <w:tcPr/>
          <w:p>
            <w:pPr>
              <w:pStyle w:val="Compact"/>
            </w:pPr>
            <w:r>
              <w:t xml:space="preserve">нет (нечувствительные)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Кеш данных</w:t>
            </w:r>
          </w:p>
        </w:tc>
        <w:tc>
          <w:tcPr/>
          <w:p>
            <w:pPr>
              <w:pStyle w:val="Compact"/>
            </w:pPr>
            <w:r>
              <w:t xml:space="preserve">IndexedDB / SQLite</w:t>
            </w:r>
          </w:p>
        </w:tc>
        <w:tc>
          <w:tcPr/>
          <w:p>
            <w:pPr>
              <w:pStyle w:val="Compact"/>
            </w:pPr>
            <w:r>
              <w:t xml:space="preserve">AES-256 локальным ключом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Временные файлы</w:t>
            </w:r>
          </w:p>
        </w:tc>
        <w:tc>
          <w:tcPr/>
          <w:p>
            <w:pPr>
              <w:pStyle w:val="Compact"/>
            </w:pPr>
            <w:r>
              <w:t xml:space="preserve">App Sandbox</w:t>
            </w:r>
          </w:p>
        </w:tc>
        <w:tc>
          <w:tcPr/>
          <w:p>
            <w:pPr>
              <w:pStyle w:val="Compact"/>
            </w:pPr>
            <w:r>
              <w:t xml:space="preserve">средствами ОС</w:t>
            </w:r>
          </w:p>
        </w:tc>
      </w:tr>
    </w:tbl>
    <w:bookmarkEnd w:id="10"/>
    <w:bookmarkStart w:id="17" w:name="сущности"/>
    <w:p>
      <w:pPr>
        <w:pStyle w:val="Heading3"/>
      </w:pPr>
      <w:r>
        <w:t xml:space="preserve">1.2. Сущности</w:t>
      </w:r>
    </w:p>
    <w:bookmarkStart w:id="11" w:name="user"/>
    <w:p>
      <w:pPr>
        <w:pStyle w:val="Heading4"/>
      </w:pPr>
      <w:r>
        <w:t xml:space="preserve">User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"usr-rsfsr-104221"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"Иван Иванович Иванов"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"initials"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"ИИ"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"kyc_status"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"verified"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"esia_id"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"1234567890"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"biometric_ebs"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"phone_masked"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"+7 *** *** 45 67"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"email_masked"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"i***@example.ru"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"Москва"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"joined_at"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"2024-11-01T12:00:00Z"</w:t>
      </w:r>
      <w:r>
        <w:br/>
      </w:r>
      <w:r>
        <w:rPr>
          <w:rStyle w:val="FunctionTok"/>
        </w:rPr>
        <w:t xml:space="preserve">}</w:t>
      </w:r>
    </w:p>
    <w:bookmarkEnd w:id="11"/>
    <w:bookmarkStart w:id="12" w:name="asset"/>
    <w:p>
      <w:pPr>
        <w:pStyle w:val="Heading4"/>
      </w:pPr>
      <w:r>
        <w:t xml:space="preserve">Asset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"ast-r-7a3b"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"apartment"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"Квартира"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"г. Москва, ул. Тверская, д. 12, кв. 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"kadastr"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"77:01:0001000:1234"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"area_m2"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"year_built"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"valuation"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"amount_rub"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16400000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"comparative"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"partner"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"insurance_included"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"valid_until"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"2025-11-15"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"cfa_active_nominal_rub"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"encumbrance"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"temporary"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"egrn_record_id"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"documents"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"doc-001"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"doc-002"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2"/>
    <w:bookmarkStart w:id="13" w:name="smartcontract"/>
    <w:p>
      <w:pPr>
        <w:pStyle w:val="Heading4"/>
      </w:pPr>
      <w:r>
        <w:t xml:space="preserve">SmartContract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"sc-7a3b"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"asset_id"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"ast-r-7a3b"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"nominal_rub"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"term_months"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"target_programme"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"Жильё и городская среда"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"rate_pct"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"total_income_rub"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1033200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"escrow_agent"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"ЦБ РФ"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"insurance_partner"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"encumbrance_registrar"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"Росреестр"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"issue_date"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"2024-11-15"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"maturity_date"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"2027-11-15"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"signed_at"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"2024-11-15T10:23:45Z"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"signature_uke"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FunctionTok"/>
        </w:rPr>
        <w:t xml:space="preserve">}</w:t>
      </w:r>
    </w:p>
    <w:bookmarkEnd w:id="13"/>
    <w:bookmarkStart w:id="14" w:name="cfa"/>
    <w:p>
      <w:pPr>
        <w:pStyle w:val="Heading4"/>
      </w:pPr>
      <w:r>
        <w:t xml:space="preserve">CFA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"cfa-7a3b-rsfsr-2025-00018"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"smart_contract_id"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"sc-7a3b"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"asset_id"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"ast-r-7a3b"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"asset_title"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"Квартира Тверская"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"nominal_rub"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"term_months"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"rate_pct"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"programme"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"Жильё и городская среда"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"issued_at"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"2024-11-15T11:00:00Z"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"next_payout_date"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"2025-08-15"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"cb_record_id"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"cb-..."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"events_count"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"payouts_total_rub"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142800</w:t>
      </w:r>
      <w:r>
        <w:br/>
      </w:r>
      <w:r>
        <w:rPr>
          <w:rStyle w:val="FunctionTok"/>
        </w:rPr>
        <w:t xml:space="preserve">}</w:t>
      </w:r>
    </w:p>
    <w:bookmarkEnd w:id="14"/>
    <w:bookmarkStart w:id="15" w:name="transaction"/>
    <w:p>
      <w:pPr>
        <w:pStyle w:val="Heading4"/>
      </w:pPr>
      <w:r>
        <w:t xml:space="preserve">Transaction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"tx-001"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"income"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"quarterly_payout"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"cfa_id"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"cfa-7a3b-rsfsr-2025-00018"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"amount_rub"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"2025-05-15"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"Квартальное вознаграждение"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br/>
      </w:r>
      <w:r>
        <w:rPr>
          <w:rStyle w:val="FunctionTok"/>
        </w:rPr>
        <w:t xml:space="preserve">}</w:t>
      </w:r>
    </w:p>
    <w:bookmarkEnd w:id="15"/>
    <w:bookmarkStart w:id="16" w:name="notification"/>
    <w:p>
      <w:pPr>
        <w:pStyle w:val="Heading4"/>
      </w:pPr>
      <w:r>
        <w:t xml:space="preserve">Notification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"ntf-001"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"Выплата зачислена"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"Квартальное вознаграждение 86 100 ₽ зачислено на ваш счёт."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"income"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"/cfa-detail/cfa-7a3b-rsfsr-2025-00018"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"unread"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"2025-05-15T10:00:00Z"</w:t>
      </w:r>
      <w:r>
        <w:br/>
      </w:r>
      <w:r>
        <w:rPr>
          <w:rStyle w:val="FunctionTok"/>
        </w:rPr>
        <w:t xml:space="preserve">}</w:t>
      </w:r>
    </w:p>
    <w:bookmarkEnd w:id="16"/>
    <w:bookmarkEnd w:id="17"/>
    <w:bookmarkEnd w:id="18"/>
    <w:bookmarkStart w:id="20" w:name="серверная-модель-данных"/>
    <w:p>
      <w:pPr>
        <w:pStyle w:val="Heading2"/>
      </w:pPr>
      <w:r>
        <w:t xml:space="preserve">2. Серверная модель данных</w:t>
      </w:r>
    </w:p>
    <w:p>
      <w:pPr>
        <w:pStyle w:val="FirstParagraph"/>
      </w:pPr>
      <w:r>
        <w:t xml:space="preserve">Полная модель данных описана в технической документации платформы (</w:t>
      </w:r>
      <w:r>
        <w:rPr>
          <w:rStyle w:val="VerbatimChar"/>
        </w:rPr>
        <w:t xml:space="preserve">01_Техническая_документация/06_DLT_реестр_ЦФА.md</w:t>
      </w:r>
      <w:r>
        <w:t xml:space="preserve">). Клиент использует REST-проекции серверной модели.</w:t>
      </w:r>
    </w:p>
    <w:bookmarkStart w:id="19" w:name="ключевые-сущности"/>
    <w:p>
      <w:pPr>
        <w:pStyle w:val="Heading3"/>
      </w:pPr>
      <w:r>
        <w:t xml:space="preserve">Ключевые сущности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Identity</w:t>
      </w:r>
      <w:r>
        <w:t xml:space="preserve"> </w:t>
      </w:r>
      <w:r>
        <w:t xml:space="preserve">(пользователь) — связь с ЕСИА.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KycRecord</w:t>
      </w:r>
      <w:r>
        <w:t xml:space="preserve"> </w:t>
      </w:r>
      <w:r>
        <w:t xml:space="preserve">— записи KYC-проверки.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Asset</w:t>
      </w:r>
      <w:r>
        <w:t xml:space="preserve"> </w:t>
      </w:r>
      <w:r>
        <w:t xml:space="preserve">— актив с привязкой к ЕГРН/Роспатенту/депозитарию.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Valuation</w:t>
      </w:r>
      <w:r>
        <w:t xml:space="preserve"> </w:t>
      </w:r>
      <w:r>
        <w:t xml:space="preserve">— оценка с партнёром, методом, страхованием.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SmartContract</w:t>
      </w:r>
      <w:r>
        <w:t xml:space="preserve"> </w:t>
      </w:r>
      <w:r>
        <w:t xml:space="preserve">— смарт-контракт с подписями всех сторон.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CFAToken</w:t>
      </w:r>
      <w:r>
        <w:t xml:space="preserve"> </w:t>
      </w:r>
      <w:r>
        <w:t xml:space="preserve">— токен в DLT-реестре с полной историей.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Escrow</w:t>
      </w:r>
      <w:r>
        <w:t xml:space="preserve"> </w:t>
      </w:r>
      <w:r>
        <w:t xml:space="preserve">— эскроу-запись Банка России.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Treasury</w:t>
      </w:r>
      <w:r>
        <w:t xml:space="preserve"> </w:t>
      </w:r>
      <w:r>
        <w:t xml:space="preserve">— записи Федерального казначейства.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NationalProgramme</w:t>
      </w:r>
      <w:r>
        <w:t xml:space="preserve"> </w:t>
      </w:r>
      <w:r>
        <w:t xml:space="preserve">— программа национального проекта.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InsurancePolicy</w:t>
      </w:r>
      <w:r>
        <w:t xml:space="preserve"> </w:t>
      </w:r>
      <w:r>
        <w:t xml:space="preserve">— страховой полис.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EgrnRecord</w:t>
      </w:r>
      <w:r>
        <w:t xml:space="preserve"> </w:t>
      </w:r>
      <w:r>
        <w:t xml:space="preserve">— запись обременения.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Notification</w:t>
      </w:r>
      <w:r>
        <w:t xml:space="preserve"> </w:t>
      </w:r>
      <w:r>
        <w:t xml:space="preserve">— уведомление пользователя.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AuditLog</w:t>
      </w:r>
      <w:r>
        <w:t xml:space="preserve"> </w:t>
      </w:r>
      <w:r>
        <w:t xml:space="preserve">— неизменяемый журнал всех операций.</w:t>
      </w:r>
    </w:p>
    <w:bookmarkEnd w:id="19"/>
    <w:bookmarkEnd w:id="20"/>
    <w:bookmarkStart w:id="21" w:name="связи-между-сущностями"/>
    <w:p>
      <w:pPr>
        <w:pStyle w:val="Heading2"/>
      </w:pPr>
      <w:r>
        <w:t xml:space="preserve">3. Связи между сущностями</w:t>
      </w:r>
    </w:p>
    <w:p>
      <w:pPr>
        <w:pStyle w:val="SourceCode"/>
      </w:pPr>
      <w:r>
        <w:rPr>
          <w:rStyle w:val="VerbatimChar"/>
        </w:rPr>
        <w:t xml:space="preserve">User ─&lt; Asset ─&lt; Valuation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└─&lt; SmartContract ──&gt; CFAToken ──&gt; Escrow ──&gt; Treasury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         ├─&gt; InsurancePolicy</w:t>
      </w:r>
      <w:r>
        <w:br/>
      </w:r>
      <w:r>
        <w:rPr>
          <w:rStyle w:val="VerbatimChar"/>
        </w:rPr>
        <w:t xml:space="preserve">                                  ├─&gt; EgrnRecord</w:t>
      </w:r>
      <w:r>
        <w:br/>
      </w:r>
      <w:r>
        <w:rPr>
          <w:rStyle w:val="VerbatimChar"/>
        </w:rPr>
        <w:t xml:space="preserve">                                  └─&lt; Transaction (выплаты)</w:t>
      </w:r>
      <w:r>
        <w:br/>
      </w:r>
      <w:r>
        <w:br/>
      </w:r>
      <w:r>
        <w:rPr>
          <w:rStyle w:val="VerbatimChar"/>
        </w:rPr>
        <w:t xml:space="preserve">User ─&lt; Notification</w:t>
      </w:r>
      <w:r>
        <w:br/>
      </w:r>
      <w:r>
        <w:rPr>
          <w:rStyle w:val="VerbatimChar"/>
        </w:rPr>
        <w:t xml:space="preserve">User ─&lt; AuditLog (read-only)</w:t>
      </w:r>
    </w:p>
    <w:bookmarkEnd w:id="21"/>
    <w:bookmarkStart w:id="24" w:name="жизненный-цикл-данных"/>
    <w:p>
      <w:pPr>
        <w:pStyle w:val="Heading2"/>
      </w:pPr>
      <w:r>
        <w:t xml:space="preserve">4. Жизненный цикл данных</w:t>
      </w:r>
    </w:p>
    <w:bookmarkStart w:id="22" w:name="asset-1"/>
    <w:p>
      <w:pPr>
        <w:pStyle w:val="Heading3"/>
      </w:pPr>
      <w:r>
        <w:t xml:space="preserve">4.1. Asset</w:t>
      </w:r>
    </w:p>
    <w:p>
      <w:pPr>
        <w:pStyle w:val="SourceCode"/>
      </w:pPr>
      <w:r>
        <w:rPr>
          <w:rStyle w:val="VerbatimChar"/>
        </w:rPr>
        <w:t xml:space="preserve">DRAFT → PENDING_VALUATION → VALUED → CONTRACT_PENDING →</w:t>
      </w:r>
      <w:r>
        <w:br/>
      </w:r>
      <w:r>
        <w:rPr>
          <w:rStyle w:val="VerbatimChar"/>
        </w:rPr>
        <w:t xml:space="preserve">  ACTIVE → [RETURNED | REINVESTED | EXCHANGED]</w:t>
      </w:r>
    </w:p>
    <w:bookmarkEnd w:id="22"/>
    <w:bookmarkStart w:id="23" w:name="cfa-1"/>
    <w:p>
      <w:pPr>
        <w:pStyle w:val="Heading3"/>
      </w:pPr>
      <w:r>
        <w:t xml:space="preserve">4.2. CFA</w:t>
      </w:r>
    </w:p>
    <w:p>
      <w:pPr>
        <w:pStyle w:val="SourceCode"/>
      </w:pPr>
      <w:r>
        <w:rPr>
          <w:rStyle w:val="VerbatimChar"/>
        </w:rPr>
        <w:t xml:space="preserve">PENDING_ISSUE → ISSUED → IN_CB_PORTFOLIO → ACTIVE →</w:t>
      </w:r>
      <w:r>
        <w:br/>
      </w:r>
      <w:r>
        <w:rPr>
          <w:rStyle w:val="VerbatimChar"/>
        </w:rPr>
        <w:t xml:space="preserve">  [MATURED → RETURNED | EXCHANGED_MENA | INSURED_CASE | REINVESTED]</w:t>
      </w:r>
    </w:p>
    <w:bookmarkEnd w:id="23"/>
    <w:bookmarkEnd w:id="24"/>
    <w:bookmarkStart w:id="25" w:name="объём-данных"/>
    <w:p>
      <w:pPr>
        <w:pStyle w:val="Heading2"/>
      </w:pPr>
      <w:r>
        <w:t xml:space="preserve">5. Объём данных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Сущность</w:t>
            </w:r>
          </w:p>
        </w:tc>
        <w:tc>
          <w:tcPr/>
          <w:p>
            <w:pPr>
              <w:pStyle w:val="Compact"/>
            </w:pPr>
            <w:r>
              <w:t xml:space="preserve">Среднее количество на пользователя</w:t>
            </w:r>
          </w:p>
        </w:tc>
        <w:tc>
          <w:tcPr/>
          <w:p>
            <w:pPr>
              <w:pStyle w:val="Compact"/>
            </w:pPr>
            <w:r>
              <w:t xml:space="preserve">Пиковое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SmartContract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CFA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</w:t>
            </w:r>
          </w:p>
        </w:tc>
        <w:tc>
          <w:tcPr/>
          <w:p>
            <w:pPr>
              <w:pStyle w:val="Compact"/>
            </w:pPr>
            <w:r>
              <w:t xml:space="preserve">50 в год</w:t>
            </w:r>
          </w:p>
        </w:tc>
        <w:tc>
          <w:tcPr/>
          <w:p>
            <w:pPr>
              <w:pStyle w:val="Compact"/>
            </w:pPr>
            <w:r>
              <w:t xml:space="preserve">1 000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</w:t>
            </w:r>
          </w:p>
        </w:tc>
        <w:tc>
          <w:tcPr/>
          <w:p>
            <w:pPr>
              <w:pStyle w:val="Compact"/>
            </w:pPr>
            <w:r>
              <w:t xml:space="preserve">100 в год</w:t>
            </w:r>
          </w:p>
        </w:tc>
        <w:tc>
          <w:tcPr/>
          <w:p>
            <w:pPr>
              <w:pStyle w:val="Compact"/>
            </w:pPr>
            <w:r>
              <w:t xml:space="preserve">5 000</w:t>
            </w:r>
          </w:p>
        </w:tc>
      </w:tr>
    </w:tbl>
    <w:p>
      <w:pPr>
        <w:pStyle w:val="BodyText"/>
      </w:pPr>
      <w:r>
        <w:t xml:space="preserve">Совокупный объём локального кеша — до 200 МБ.</w:t>
      </w:r>
    </w:p>
    <w:bookmarkEnd w:id="25"/>
    <w:bookmarkStart w:id="26" w:name="резервное-копирование"/>
    <w:p>
      <w:pPr>
        <w:pStyle w:val="Heading2"/>
      </w:pPr>
      <w:r>
        <w:t xml:space="preserve">6. Резервное копирование</w:t>
      </w:r>
    </w:p>
    <w:p>
      <w:pPr>
        <w:pStyle w:val="FirstParagraph"/>
      </w:pPr>
      <w:r>
        <w:t xml:space="preserve">Данные пользователя автоматически реплицируются в серверной части. На устройстве хранится только кеш для оффлайн-режима. При смене устройства все данные восстанавливаются после первой авторизации в новом устройстве.</w:t>
      </w:r>
    </w:p>
    <w:bookmarkEnd w:id="26"/>
    <w:bookmarkStart w:id="27" w:name="удаление-данных-пользователя"/>
    <w:p>
      <w:pPr>
        <w:pStyle w:val="Heading2"/>
      </w:pPr>
      <w:r>
        <w:t xml:space="preserve">7. Удаление данных пользователя</w:t>
      </w:r>
    </w:p>
    <w:p>
      <w:pPr>
        <w:pStyle w:val="FirstParagraph"/>
      </w:pPr>
      <w:r>
        <w:t xml:space="preserve">При удалении аккаунта пользователя в соответствии с 152-ФЗ:</w:t>
      </w:r>
      <w:r>
        <w:t xml:space="preserve"> </w:t>
      </w:r>
      <w:r>
        <w:t xml:space="preserve">1. Данные на устройстве — удаляются сразу.</w:t>
      </w:r>
      <w:r>
        <w:t xml:space="preserve"> </w:t>
      </w:r>
      <w:r>
        <w:t xml:space="preserve">2. Данные в эксплуатационной БД — удаляются за 30 дней.</w:t>
      </w:r>
      <w:r>
        <w:t xml:space="preserve"> </w:t>
      </w:r>
      <w:r>
        <w:t xml:space="preserve">3. Данные в DLT-реестре (для активных ЦФА) — обременение должно быть снято; после этого реестр-запись остаётся в архивном виде с пометкой об удалении ПДн собственника, но с сохранением хронологии (требование надзорной отчётности).</w:t>
      </w:r>
      <w:r>
        <w:t xml:space="preserve"> </w:t>
      </w:r>
      <w:r>
        <w:t xml:space="preserve">4. Резервные копии — удаляются по графику ротации (до 7 лет хранения по требованию ЦБ).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Подробное описание серверной модели данных — в технической документации платформы.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2026-05-23T23:01:26Z</dcterms:created>
  <dcterms:modified xsi:type="dcterms:W3CDTF">2026-05-23T23:01:26Z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