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программа-и-методика-испытаний"/>
    <w:p>
      <w:pPr>
        <w:pStyle w:val="Heading1"/>
      </w:pPr>
      <w:r>
        <w:t xml:space="preserve">Программа и методика испытаний</w:t>
      </w:r>
    </w:p>
    <w:bookmarkStart w:id="9" w:name="цп-рсфср-мобильное-приложение"/>
    <w:p>
      <w:pPr>
        <w:pStyle w:val="Heading2"/>
      </w:pPr>
      <w:r>
        <w:t xml:space="preserve">ЦП РСФСР — мобильное приложение</w:t>
      </w:r>
    </w:p>
    <w:p>
      <w:pPr>
        <w:pStyle w:val="FirstParagraph"/>
      </w:pPr>
      <w:r>
        <w:rPr>
          <w:b/>
          <w:bCs/>
        </w:rPr>
        <w:t xml:space="preserve">Условное обозначение:</w:t>
      </w:r>
      <w:r>
        <w:t xml:space="preserve"> </w:t>
      </w:r>
      <w:r>
        <w:t xml:space="preserve">РСФСР.МП.09.ПМИ</w:t>
      </w:r>
      <w:r>
        <w:t xml:space="preserve"> </w:t>
      </w:r>
      <w:r>
        <w:rPr>
          <w:b/>
          <w:bCs/>
        </w:rPr>
        <w:t xml:space="preserve">Стандарт:</w:t>
      </w:r>
      <w:r>
        <w:t xml:space="preserve"> </w:t>
      </w:r>
      <w:r>
        <w:t xml:space="preserve">ГОСТ 19.301-79</w:t>
      </w:r>
    </w:p>
    <w:p>
      <w:r>
        <w:pict>
          <v:rect style="width:0;height:1.5pt" o:hralign="center" o:hrstd="t" o:hr="t"/>
        </w:pict>
      </w:r>
    </w:p>
    <w:bookmarkEnd w:id="9"/>
    <w:bookmarkStart w:id="12" w:name="объект-испытаний"/>
    <w:p>
      <w:pPr>
        <w:pStyle w:val="Heading2"/>
      </w:pPr>
      <w:r>
        <w:t xml:space="preserve">1. Объект испытаний</w:t>
      </w:r>
    </w:p>
    <w:bookmarkStart w:id="10" w:name="наименование"/>
    <w:p>
      <w:pPr>
        <w:pStyle w:val="Heading3"/>
      </w:pPr>
      <w:r>
        <w:t xml:space="preserve">1.1. Наименование</w:t>
      </w:r>
    </w:p>
    <w:p>
      <w:pPr>
        <w:pStyle w:val="FirstParagraph"/>
      </w:pPr>
      <w:r>
        <w:t xml:space="preserve">Мобильное приложение «ЦП РСФСР — мобильное приложение залогодателя» во всех целевых сборках:</w:t>
      </w:r>
      <w:r>
        <w:t xml:space="preserve"> </w:t>
      </w:r>
      <w:r>
        <w:t xml:space="preserve">- Android (RuStore, Google Play);</w:t>
      </w:r>
      <w:r>
        <w:t xml:space="preserve"> </w:t>
      </w:r>
      <w:r>
        <w:t xml:space="preserve">- iOS (App Store);</w:t>
      </w:r>
      <w:r>
        <w:t xml:space="preserve"> </w:t>
      </w:r>
      <w:r>
        <w:t xml:space="preserve">- Windows (Microsoft Store);</w:t>
      </w:r>
      <w:r>
        <w:t xml:space="preserve"> </w:t>
      </w:r>
      <w:r>
        <w:t xml:space="preserve">- PWA (любой современный браузер).</w:t>
      </w:r>
    </w:p>
    <w:bookmarkEnd w:id="10"/>
    <w:bookmarkStart w:id="11" w:name="цель-испытаний"/>
    <w:p>
      <w:pPr>
        <w:pStyle w:val="Heading3"/>
      </w:pPr>
      <w:r>
        <w:t xml:space="preserve">1.2. Цель испытаний</w:t>
      </w:r>
    </w:p>
    <w:p>
      <w:pPr>
        <w:pStyle w:val="FirstParagraph"/>
      </w:pPr>
      <w:r>
        <w:t xml:space="preserve">Подтверждение соответствия программы требованиям технического задания (РСФСР.МП.01.ТЗ), нормативным требованиям регуляторов и стандартам качества программных продуктов.</w:t>
      </w:r>
    </w:p>
    <w:bookmarkEnd w:id="11"/>
    <w:bookmarkEnd w:id="12"/>
    <w:bookmarkStart w:id="19" w:name="виды-испытаний"/>
    <w:p>
      <w:pPr>
        <w:pStyle w:val="Heading2"/>
      </w:pPr>
      <w:r>
        <w:t xml:space="preserve">2. Виды испытаний</w:t>
      </w:r>
    </w:p>
    <w:bookmarkStart w:id="13" w:name="функциональные-испытания"/>
    <w:p>
      <w:pPr>
        <w:pStyle w:val="Heading3"/>
      </w:pPr>
      <w:r>
        <w:t xml:space="preserve">2.1. Функциональные испытания</w:t>
      </w:r>
    </w:p>
    <w:p>
      <w:pPr>
        <w:pStyle w:val="FirstParagraph"/>
      </w:pPr>
      <w:r>
        <w:t xml:space="preserve">Проверка соответствия функциональным требованиям ТЗ. Объект — все 23 экрана и все переходы.</w:t>
      </w:r>
    </w:p>
    <w:bookmarkEnd w:id="13"/>
    <w:bookmarkStart w:id="14" w:name="нагрузочные-испытания"/>
    <w:p>
      <w:pPr>
        <w:pStyle w:val="Heading3"/>
      </w:pPr>
      <w:r>
        <w:t xml:space="preserve">2.2. Нагрузочные испытания</w:t>
      </w:r>
    </w:p>
    <w:p>
      <w:pPr>
        <w:pStyle w:val="FirstParagraph"/>
      </w:pPr>
      <w:r>
        <w:t xml:space="preserve">Проверка производительности при пиковых нагрузках.</w:t>
      </w:r>
    </w:p>
    <w:bookmarkEnd w:id="14"/>
    <w:bookmarkStart w:id="15" w:name="испытания-безопасности"/>
    <w:p>
      <w:pPr>
        <w:pStyle w:val="Heading3"/>
      </w:pPr>
      <w:r>
        <w:t xml:space="preserve">2.3. Испытания безопасности</w:t>
      </w:r>
    </w:p>
    <w:p>
      <w:pPr>
        <w:pStyle w:val="FirstParagraph"/>
      </w:pPr>
      <w:r>
        <w:t xml:space="preserve">Сертификационные испытания по требованиям ФСТЭК России, ФСБ России.</w:t>
      </w:r>
    </w:p>
    <w:bookmarkEnd w:id="15"/>
    <w:bookmarkStart w:id="16" w:name="испытания-доступности"/>
    <w:p>
      <w:pPr>
        <w:pStyle w:val="Heading3"/>
      </w:pPr>
      <w:r>
        <w:t xml:space="preserve">2.4. Испытания доступности</w:t>
      </w:r>
    </w:p>
    <w:p>
      <w:pPr>
        <w:pStyle w:val="FirstParagraph"/>
      </w:pPr>
      <w:r>
        <w:t xml:space="preserve">Проверка соответствия WCAG 2.2 уровня AA.</w:t>
      </w:r>
    </w:p>
    <w:bookmarkEnd w:id="16"/>
    <w:bookmarkStart w:id="17" w:name="испытания-совместимости"/>
    <w:p>
      <w:pPr>
        <w:pStyle w:val="Heading3"/>
      </w:pPr>
      <w:r>
        <w:t xml:space="preserve">2.5. Испытания совместимости</w:t>
      </w:r>
    </w:p>
    <w:p>
      <w:pPr>
        <w:pStyle w:val="FirstParagraph"/>
      </w:pPr>
      <w:r>
        <w:t xml:space="preserve">Проверка работы на различных моделях устройств и версиях ОС.</w:t>
      </w:r>
    </w:p>
    <w:bookmarkEnd w:id="17"/>
    <w:bookmarkStart w:id="18" w:name="регрессионные-испытания"/>
    <w:p>
      <w:pPr>
        <w:pStyle w:val="Heading3"/>
      </w:pPr>
      <w:r>
        <w:t xml:space="preserve">2.6. Регрессионные испытания</w:t>
      </w:r>
    </w:p>
    <w:p>
      <w:pPr>
        <w:pStyle w:val="FirstParagraph"/>
      </w:pPr>
      <w:r>
        <w:t xml:space="preserve">Автоматические тесты на каждом релизе.</w:t>
      </w:r>
    </w:p>
    <w:bookmarkEnd w:id="18"/>
    <w:bookmarkEnd w:id="19"/>
    <w:bookmarkStart w:id="26" w:name="программа-испытаний"/>
    <w:p>
      <w:pPr>
        <w:pStyle w:val="Heading2"/>
      </w:pPr>
      <w:r>
        <w:t xml:space="preserve">3. Программа испытаний</w:t>
      </w:r>
    </w:p>
    <w:bookmarkStart w:id="20" w:name="этап-1.-альфа-тестирование-внутреннее"/>
    <w:p>
      <w:pPr>
        <w:pStyle w:val="Heading3"/>
      </w:pPr>
      <w:r>
        <w:t xml:space="preserve">3.1. Этап 1. Альфа-тестирование (внутреннее)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Тест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FT-001</w:t>
            </w:r>
          </w:p>
        </w:tc>
        <w:tc>
          <w:tcPr/>
          <w:p>
            <w:pPr>
              <w:pStyle w:val="Compact"/>
            </w:pPr>
            <w:r>
              <w:t xml:space="preserve">Запуск приложения</w:t>
            </w:r>
          </w:p>
        </w:tc>
        <w:tc>
          <w:tcPr/>
          <w:p>
            <w:pPr>
              <w:pStyle w:val="Compact"/>
            </w:pPr>
            <w:r>
              <w:t xml:space="preserve">Splash через 1,5 сек →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FT-002</w:t>
            </w:r>
          </w:p>
        </w:tc>
        <w:tc>
          <w:tcPr/>
          <w:p>
            <w:pPr>
              <w:pStyle w:val="Compact"/>
            </w:pPr>
            <w:r>
              <w:t xml:space="preserve">Авторизация через ЕСИА</w:t>
            </w:r>
          </w:p>
        </w:tc>
        <w:tc>
          <w:tcPr/>
          <w:p>
            <w:pPr>
              <w:pStyle w:val="Compact"/>
            </w:pPr>
            <w:r>
              <w:t xml:space="preserve">Переход к KYC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FT-003</w:t>
            </w:r>
          </w:p>
        </w:tc>
        <w:tc>
          <w:tcPr/>
          <w:p>
            <w:pPr>
              <w:pStyle w:val="Compact"/>
            </w:pPr>
            <w:r>
              <w:t xml:space="preserve">Прохождение KYC (3 шага)</w:t>
            </w:r>
          </w:p>
        </w:tc>
        <w:tc>
          <w:tcPr/>
          <w:p>
            <w:pPr>
              <w:pStyle w:val="Compact"/>
            </w:pPr>
            <w:r>
              <w:t xml:space="preserve">Переход к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FT-004</w:t>
            </w:r>
          </w:p>
        </w:tc>
        <w:tc>
          <w:tcPr/>
          <w:p>
            <w:pPr>
              <w:pStyle w:val="Compact"/>
            </w:pPr>
            <w:r>
              <w:t xml:space="preserve">Прохождение Onboarding</w:t>
            </w:r>
          </w:p>
        </w:tc>
        <w:tc>
          <w:tcPr/>
          <w:p>
            <w:pPr>
              <w:pStyle w:val="Compact"/>
            </w:pPr>
            <w:r>
              <w:t xml:space="preserve">Переход на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FT-005</w:t>
            </w:r>
          </w:p>
        </w:tc>
        <w:tc>
          <w:tcPr/>
          <w:p>
            <w:pPr>
              <w:pStyle w:val="Compact"/>
            </w:pPr>
            <w:r>
              <w:t xml:space="preserve">Подача нового актива (полный wizard)</w:t>
            </w:r>
          </w:p>
        </w:tc>
        <w:tc>
          <w:tcPr/>
          <w:p>
            <w:pPr>
              <w:pStyle w:val="Compact"/>
            </w:pPr>
            <w:r>
              <w:t xml:space="preserve">Получение оценки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FT-006</w:t>
            </w:r>
          </w:p>
        </w:tc>
        <w:tc>
          <w:tcPr/>
          <w:p>
            <w:pPr>
              <w:pStyle w:val="Compact"/>
            </w:pPr>
            <w:r>
              <w:t xml:space="preserve">Настройка и подписание смарт-контракта</w:t>
            </w:r>
          </w:p>
        </w:tc>
        <w:tc>
          <w:tcPr/>
          <w:p>
            <w:pPr>
              <w:pStyle w:val="Compact"/>
            </w:pPr>
            <w:r>
              <w:t xml:space="preserve">Экран «ЦФА выпущен»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FT-007</w:t>
            </w:r>
          </w:p>
        </w:tc>
        <w:tc>
          <w:tcPr/>
          <w:p>
            <w:pPr>
              <w:pStyle w:val="Compact"/>
            </w:pPr>
            <w:r>
              <w:t xml:space="preserve">Просмотр выпущенного ЦФА</w:t>
            </w:r>
          </w:p>
        </w:tc>
        <w:tc>
          <w:tcPr/>
          <w:p>
            <w:pPr>
              <w:pStyle w:val="Compact"/>
            </w:pPr>
            <w:r>
              <w:t xml:space="preserve">Карточка ЦФА с условиями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FT-008</w:t>
            </w:r>
          </w:p>
        </w:tc>
        <w:tc>
          <w:tcPr/>
          <w:p>
            <w:pPr>
              <w:pStyle w:val="Compact"/>
            </w:pPr>
            <w:r>
              <w:t xml:space="preserve">Просмотр доходов и графика</w:t>
            </w:r>
          </w:p>
        </w:tc>
        <w:tc>
          <w:tcPr/>
          <w:p>
            <w:pPr>
              <w:pStyle w:val="Compact"/>
            </w:pPr>
            <w:r>
              <w:t xml:space="preserve">График и список выплат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FT-009</w:t>
            </w:r>
          </w:p>
        </w:tc>
        <w:tc>
          <w:tcPr/>
          <w:p>
            <w:pPr>
              <w:pStyle w:val="Compact"/>
            </w:pPr>
            <w:r>
              <w:t xml:space="preserve">История операций с фильтрами</w:t>
            </w:r>
          </w:p>
        </w:tc>
        <w:tc>
          <w:tcPr/>
          <w:p>
            <w:pPr>
              <w:pStyle w:val="Compact"/>
            </w:pPr>
            <w:r>
              <w:t xml:space="preserve">Список операций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FT-010</w:t>
            </w:r>
          </w:p>
        </w:tc>
        <w:tc>
          <w:tcPr/>
          <w:p>
            <w:pPr>
              <w:pStyle w:val="Compact"/>
            </w:pPr>
            <w:r>
              <w:t xml:space="preserve">Уведомления центр</w:t>
            </w:r>
          </w:p>
        </w:tc>
        <w:tc>
          <w:tcPr/>
          <w:p>
            <w:pPr>
              <w:pStyle w:val="Compact"/>
            </w:pPr>
            <w:r>
              <w:t xml:space="preserve">Список 4 уведомлений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FT-011</w:t>
            </w:r>
          </w:p>
        </w:tc>
        <w:tc>
          <w:tcPr/>
          <w:p>
            <w:pPr>
              <w:pStyle w:val="Compact"/>
            </w:pPr>
            <w:r>
              <w:t xml:space="preserve">Профиль и его действия</w:t>
            </w:r>
          </w:p>
        </w:tc>
        <w:tc>
          <w:tcPr/>
          <w:p>
            <w:pPr>
              <w:pStyle w:val="Compact"/>
            </w:pPr>
            <w:r>
              <w:t xml:space="preserve">Меню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FT-012</w:t>
            </w:r>
          </w:p>
        </w:tc>
        <w:tc>
          <w:tcPr/>
          <w:p>
            <w:pPr>
              <w:pStyle w:val="Compact"/>
            </w:pPr>
            <w:r>
              <w:t xml:space="preserve">Переключение тем (×4)</w:t>
            </w:r>
          </w:p>
        </w:tc>
        <w:tc>
          <w:tcPr/>
          <w:p>
            <w:pPr>
              <w:pStyle w:val="Compact"/>
            </w:pPr>
            <w:r>
              <w:t xml:space="preserve">Тема меняется без перезагрузки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FT-013</w:t>
            </w:r>
          </w:p>
        </w:tc>
        <w:tc>
          <w:tcPr/>
          <w:p>
            <w:pPr>
              <w:pStyle w:val="Compact"/>
            </w:pPr>
            <w:r>
              <w:t xml:space="preserve">Переключение языков (×4)</w:t>
            </w:r>
          </w:p>
        </w:tc>
        <w:tc>
          <w:tcPr/>
          <w:p>
            <w:pPr>
              <w:pStyle w:val="Compact"/>
            </w:pPr>
            <w:r>
              <w:t xml:space="preserve">Все строки переводятся; AR → RTL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FT-014</w:t>
            </w:r>
          </w:p>
        </w:tc>
        <w:tc>
          <w:tcPr/>
          <w:p>
            <w:pPr>
              <w:pStyle w:val="Compact"/>
            </w:pPr>
            <w:r>
              <w:t xml:space="preserve">Изменение размера шрифта</w:t>
            </w:r>
          </w:p>
        </w:tc>
        <w:tc>
          <w:tcPr/>
          <w:p>
            <w:pPr>
              <w:pStyle w:val="Compact"/>
            </w:pPr>
            <w:r>
              <w:t xml:space="preserve">Шрифт масштабируется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FT-015</w:t>
            </w:r>
          </w:p>
        </w:tc>
        <w:tc>
          <w:tcPr/>
          <w:p>
            <w:pPr>
              <w:pStyle w:val="Compact"/>
            </w:pPr>
            <w:r>
              <w:t xml:space="preserve">Документы → внешняя ссылка</w:t>
            </w:r>
          </w:p>
        </w:tc>
        <w:tc>
          <w:tcPr/>
          <w:p>
            <w:pPr>
              <w:pStyle w:val="Compact"/>
            </w:pPr>
            <w:r>
              <w:t xml:space="preserve">Открытие документа в новой вкладке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FT-016</w:t>
            </w:r>
          </w:p>
        </w:tc>
        <w:tc>
          <w:tcPr/>
          <w:p>
            <w:pPr>
              <w:pStyle w:val="Compact"/>
            </w:pPr>
            <w:r>
              <w:t xml:space="preserve">Биометрия (имитация)</w:t>
            </w:r>
          </w:p>
        </w:tc>
        <w:tc>
          <w:tcPr/>
          <w:p>
            <w:pPr>
              <w:pStyle w:val="Compact"/>
            </w:pPr>
            <w:r>
              <w:t xml:space="preserve">Успешное подтверждение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FT-017</w:t>
            </w:r>
          </w:p>
        </w:tc>
        <w:tc>
          <w:tcPr/>
          <w:p>
            <w:pPr>
              <w:pStyle w:val="Compact"/>
            </w:pPr>
            <w:r>
              <w:t xml:space="preserve">OTP-код подтверждение</w:t>
            </w:r>
          </w:p>
        </w:tc>
        <w:tc>
          <w:tcPr/>
          <w:p>
            <w:pPr>
              <w:pStyle w:val="Compact"/>
            </w:pPr>
            <w:r>
              <w:t xml:space="preserve">Заполнение по одной цифре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FT-018</w:t>
            </w:r>
          </w:p>
        </w:tc>
        <w:tc>
          <w:tcPr/>
          <w:p>
            <w:pPr>
              <w:pStyle w:val="Compact"/>
            </w:pPr>
            <w:r>
              <w:t xml:space="preserve">Выход из аккаунта</w:t>
            </w:r>
          </w:p>
        </w:tc>
        <w:tc>
          <w:tcPr/>
          <w:p>
            <w:pPr>
              <w:pStyle w:val="Compact"/>
            </w:pPr>
            <w:r>
              <w:t xml:space="preserve">Возврат на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FT-019</w:t>
            </w:r>
          </w:p>
        </w:tc>
        <w:tc>
          <w:tcPr/>
          <w:p>
            <w:pPr>
              <w:pStyle w:val="Compact"/>
            </w:pPr>
            <w:r>
              <w:t xml:space="preserve">Возврат на главную с любого экрана</w:t>
            </w:r>
          </w:p>
        </w:tc>
        <w:tc>
          <w:tcPr/>
          <w:p>
            <w:pPr>
              <w:pStyle w:val="Compact"/>
            </w:pPr>
            <w:r>
              <w:t xml:space="preserve">Один тап на логотипе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FT-020</w:t>
            </w:r>
          </w:p>
        </w:tc>
        <w:tc>
          <w:tcPr/>
          <w:p>
            <w:pPr>
              <w:pStyle w:val="Compact"/>
            </w:pPr>
            <w:r>
              <w:t xml:space="preserve">Bottom-nav между 5 вкладками</w:t>
            </w:r>
          </w:p>
        </w:tc>
        <w:tc>
          <w:tcPr/>
          <w:p>
            <w:pPr>
              <w:pStyle w:val="Compact"/>
            </w:pPr>
            <w:r>
              <w:t xml:space="preserve">Корректная подсветка активной</w:t>
            </w:r>
          </w:p>
        </w:tc>
      </w:tr>
    </w:tbl>
    <w:bookmarkEnd w:id="20"/>
    <w:bookmarkStart w:id="21" w:name="этап-2.-бета-тестирование-закрытое"/>
    <w:p>
      <w:pPr>
        <w:pStyle w:val="Heading3"/>
      </w:pPr>
      <w:r>
        <w:t xml:space="preserve">3.2. Этап 2. Бета-тестирование (закрытое)</w:t>
      </w:r>
    </w:p>
    <w:p>
      <w:pPr>
        <w:pStyle w:val="FirstParagraph"/>
      </w:pPr>
      <w:r>
        <w:t xml:space="preserve">Закрытый круг пользователей до 1 000 человек, в течение 30 дней. Метрики:</w:t>
      </w:r>
      <w:r>
        <w:t xml:space="preserve"> </w:t>
      </w:r>
      <w:r>
        <w:t xml:space="preserve">- Количество завершённых пользовательских сценариев.</w:t>
      </w:r>
      <w:r>
        <w:t xml:space="preserve"> </w:t>
      </w:r>
      <w:r>
        <w:t xml:space="preserve">- Среднее время прохождения каждого сценария.</w:t>
      </w:r>
      <w:r>
        <w:t xml:space="preserve"> </w:t>
      </w:r>
      <w:r>
        <w:t xml:space="preserve">- Количество ошибок на 100 операций.</w:t>
      </w:r>
      <w:r>
        <w:t xml:space="preserve"> </w:t>
      </w:r>
      <w:r>
        <w:t xml:space="preserve">- Crash-free sessions (целевое: ≥ 99,8%).</w:t>
      </w:r>
    </w:p>
    <w:bookmarkEnd w:id="21"/>
    <w:bookmarkStart w:id="22" w:name="этап-3.-приёмочные-испытания"/>
    <w:p>
      <w:pPr>
        <w:pStyle w:val="Heading3"/>
      </w:pPr>
      <w:r>
        <w:t xml:space="preserve">3.3. Этап 3. Приёмочные испытания</w:t>
      </w:r>
    </w:p>
    <w:p>
      <w:pPr>
        <w:pStyle w:val="FirstParagraph"/>
      </w:pPr>
      <w:r>
        <w:t xml:space="preserve">С участием заказчика, регулятора (Банк России), представителей профильных министерств. Проверка соответствия всем требованиям ТЗ.</w:t>
      </w:r>
    </w:p>
    <w:bookmarkEnd w:id="22"/>
    <w:bookmarkStart w:id="25" w:name="этап-4.-сертификационные-испытания"/>
    <w:p>
      <w:pPr>
        <w:pStyle w:val="Heading3"/>
      </w:pPr>
      <w:r>
        <w:t xml:space="preserve">3.4. Этап 4. Сертификационные испытания</w:t>
      </w:r>
    </w:p>
    <w:bookmarkStart w:id="23" w:name="сертификация-сзи"/>
    <w:p>
      <w:pPr>
        <w:pStyle w:val="Heading4"/>
      </w:pPr>
      <w:r>
        <w:t xml:space="preserve">Сертификация СЗИ</w:t>
      </w:r>
    </w:p>
    <w:p>
      <w:pPr>
        <w:pStyle w:val="Compact"/>
        <w:numPr>
          <w:ilvl w:val="0"/>
          <w:numId w:val="1001"/>
        </w:numPr>
      </w:pPr>
      <w:r>
        <w:t xml:space="preserve">Аттестация по требованиям приказа ФСТЭК России №239 (КИИ).</w:t>
      </w:r>
    </w:p>
    <w:p>
      <w:pPr>
        <w:pStyle w:val="Compact"/>
        <w:numPr>
          <w:ilvl w:val="0"/>
          <w:numId w:val="1001"/>
        </w:numPr>
      </w:pPr>
      <w:r>
        <w:t xml:space="preserve">Аттестация по требованиям приказа ФСТЭК России №21 (ПДн, УЗ-1).</w:t>
      </w:r>
    </w:p>
    <w:p>
      <w:pPr>
        <w:pStyle w:val="Compact"/>
        <w:numPr>
          <w:ilvl w:val="0"/>
          <w:numId w:val="1001"/>
        </w:numPr>
      </w:pPr>
      <w:r>
        <w:t xml:space="preserve">Соответствие ГОСТ Р 57580.1 уровня 4.</w:t>
      </w:r>
    </w:p>
    <w:p>
      <w:pPr>
        <w:pStyle w:val="Compact"/>
        <w:numPr>
          <w:ilvl w:val="0"/>
          <w:numId w:val="1001"/>
        </w:numPr>
      </w:pPr>
      <w:r>
        <w:t xml:space="preserve">Сертификация криптографических средств ФСБ России.</w:t>
      </w:r>
    </w:p>
    <w:bookmarkEnd w:id="23"/>
    <w:bookmarkStart w:id="24" w:name="сертификация-по"/>
    <w:p>
      <w:pPr>
        <w:pStyle w:val="Heading4"/>
      </w:pPr>
      <w:r>
        <w:t xml:space="preserve">Сертификация ПО</w:t>
      </w:r>
    </w:p>
    <w:p>
      <w:pPr>
        <w:pStyle w:val="Compact"/>
        <w:numPr>
          <w:ilvl w:val="0"/>
          <w:numId w:val="1002"/>
        </w:numPr>
      </w:pPr>
      <w:r>
        <w:t xml:space="preserve">Включение в Единый реестр российского ПО (ПП РФ №1236).</w:t>
      </w:r>
    </w:p>
    <w:bookmarkEnd w:id="24"/>
    <w:bookmarkEnd w:id="25"/>
    <w:bookmarkEnd w:id="26"/>
    <w:bookmarkStart w:id="44" w:name="методика-испытаний"/>
    <w:p>
      <w:pPr>
        <w:pStyle w:val="Heading2"/>
      </w:pPr>
      <w:r>
        <w:t xml:space="preserve">4. Методика испытаний</w:t>
      </w:r>
    </w:p>
    <w:bookmarkStart w:id="30" w:name="функциональные-испытания-1"/>
    <w:p>
      <w:pPr>
        <w:pStyle w:val="Heading3"/>
      </w:pPr>
      <w:r>
        <w:t xml:space="preserve">4.1. Функциональные испытания</w:t>
      </w:r>
    </w:p>
    <w:bookmarkStart w:id="27" w:name="подготовка"/>
    <w:p>
      <w:pPr>
        <w:pStyle w:val="Heading4"/>
      </w:pPr>
      <w:r>
        <w:t xml:space="preserve">Подготовка</w:t>
      </w:r>
    </w:p>
    <w:p>
      <w:pPr>
        <w:pStyle w:val="Compact"/>
        <w:numPr>
          <w:ilvl w:val="0"/>
          <w:numId w:val="1003"/>
        </w:numPr>
      </w:pPr>
      <w:r>
        <w:t xml:space="preserve">Создаётся тестовое окружение с моками внешних систем (ЕСИА, ЕБС, ЕГРН, ЦБ).</w:t>
      </w:r>
    </w:p>
    <w:p>
      <w:pPr>
        <w:pStyle w:val="Compact"/>
        <w:numPr>
          <w:ilvl w:val="0"/>
          <w:numId w:val="1003"/>
        </w:numPr>
      </w:pPr>
      <w:r>
        <w:t xml:space="preserve">Подготавливается набор тестовых пользователей с разными KYC-статусами.</w:t>
      </w:r>
    </w:p>
    <w:p>
      <w:pPr>
        <w:pStyle w:val="Compact"/>
        <w:numPr>
          <w:ilvl w:val="0"/>
          <w:numId w:val="1003"/>
        </w:numPr>
      </w:pPr>
      <w:r>
        <w:t xml:space="preserve">Подготавливаются тестовые активы и ЦФА в различных состояниях.</w:t>
      </w:r>
    </w:p>
    <w:bookmarkEnd w:id="27"/>
    <w:bookmarkStart w:id="28" w:name="проведение"/>
    <w:p>
      <w:pPr>
        <w:pStyle w:val="Heading4"/>
      </w:pPr>
      <w:r>
        <w:t xml:space="preserve">Проведение</w:t>
      </w:r>
    </w:p>
    <w:p>
      <w:pPr>
        <w:pStyle w:val="Compact"/>
        <w:numPr>
          <w:ilvl w:val="0"/>
          <w:numId w:val="1004"/>
        </w:numPr>
      </w:pPr>
      <w:r>
        <w:t xml:space="preserve">Автоматические тесты через Cypress / Playwright для PWA-режима.</w:t>
      </w:r>
    </w:p>
    <w:p>
      <w:pPr>
        <w:pStyle w:val="Compact"/>
        <w:numPr>
          <w:ilvl w:val="0"/>
          <w:numId w:val="1004"/>
        </w:numPr>
      </w:pPr>
      <w:r>
        <w:t xml:space="preserve">Автоматические UI-тесты через Detox для React Native (если используется).</w:t>
      </w:r>
    </w:p>
    <w:p>
      <w:pPr>
        <w:pStyle w:val="Compact"/>
        <w:numPr>
          <w:ilvl w:val="0"/>
          <w:numId w:val="1004"/>
        </w:numPr>
      </w:pPr>
      <w:r>
        <w:t xml:space="preserve">Тесты через MAUI Test Framework для Windows.</w:t>
      </w:r>
    </w:p>
    <w:p>
      <w:pPr>
        <w:pStyle w:val="Compact"/>
        <w:numPr>
          <w:ilvl w:val="0"/>
          <w:numId w:val="1004"/>
        </w:numPr>
      </w:pPr>
      <w:r>
        <w:t xml:space="preserve">XCUITest для iOS.</w:t>
      </w:r>
    </w:p>
    <w:p>
      <w:pPr>
        <w:pStyle w:val="Compact"/>
        <w:numPr>
          <w:ilvl w:val="0"/>
          <w:numId w:val="1004"/>
        </w:numPr>
      </w:pPr>
      <w:r>
        <w:t xml:space="preserve">Espresso для Android.</w:t>
      </w:r>
    </w:p>
    <w:bookmarkEnd w:id="28"/>
    <w:bookmarkStart w:id="29" w:name="критерии-успеха"/>
    <w:p>
      <w:pPr>
        <w:pStyle w:val="Heading4"/>
      </w:pPr>
      <w:r>
        <w:t xml:space="preserve">Критерии успеха</w:t>
      </w:r>
    </w:p>
    <w:p>
      <w:pPr>
        <w:pStyle w:val="Compact"/>
        <w:numPr>
          <w:ilvl w:val="0"/>
          <w:numId w:val="1005"/>
        </w:numPr>
      </w:pPr>
      <w:r>
        <w:t xml:space="preserve">100% покрытие сценариев FT-001 — FT-020.</w:t>
      </w:r>
    </w:p>
    <w:p>
      <w:pPr>
        <w:pStyle w:val="Compact"/>
        <w:numPr>
          <w:ilvl w:val="0"/>
          <w:numId w:val="1005"/>
        </w:numPr>
      </w:pPr>
      <w:r>
        <w:t xml:space="preserve">0 критических ошибок.</w:t>
      </w:r>
    </w:p>
    <w:p>
      <w:pPr>
        <w:pStyle w:val="Compact"/>
        <w:numPr>
          <w:ilvl w:val="0"/>
          <w:numId w:val="1005"/>
        </w:numPr>
      </w:pPr>
      <w:r>
        <w:t xml:space="preserve">Не более 5 косметических замечаний.</w:t>
      </w:r>
    </w:p>
    <w:bookmarkEnd w:id="29"/>
    <w:bookmarkEnd w:id="30"/>
    <w:bookmarkStart w:id="34" w:name="нагрузочные-испытания-1"/>
    <w:p>
      <w:pPr>
        <w:pStyle w:val="Heading3"/>
      </w:pPr>
      <w:r>
        <w:t xml:space="preserve">4.2. Нагрузочные испытания</w:t>
      </w:r>
    </w:p>
    <w:bookmarkStart w:id="31" w:name="подготовка-1"/>
    <w:p>
      <w:pPr>
        <w:pStyle w:val="Heading4"/>
      </w:pPr>
      <w:r>
        <w:t xml:space="preserve">Подготовка</w:t>
      </w:r>
    </w:p>
    <w:p>
      <w:pPr>
        <w:pStyle w:val="Compact"/>
        <w:numPr>
          <w:ilvl w:val="0"/>
          <w:numId w:val="1006"/>
        </w:numPr>
      </w:pPr>
      <w:r>
        <w:t xml:space="preserve">Тестовая среда, аналогичная продакшну.</w:t>
      </w:r>
    </w:p>
    <w:p>
      <w:pPr>
        <w:pStyle w:val="Compact"/>
        <w:numPr>
          <w:ilvl w:val="0"/>
          <w:numId w:val="1006"/>
        </w:numPr>
      </w:pPr>
      <w:r>
        <w:t xml:space="preserve">JMeter / Yandex Tank для серверной нагрузки.</w:t>
      </w:r>
    </w:p>
    <w:p>
      <w:pPr>
        <w:pStyle w:val="Compact"/>
        <w:numPr>
          <w:ilvl w:val="0"/>
          <w:numId w:val="1006"/>
        </w:numPr>
      </w:pPr>
      <w:r>
        <w:t xml:space="preserve">Lighthouse / WebPageTest для клиентских метрик.</w:t>
      </w:r>
    </w:p>
    <w:bookmarkEnd w:id="31"/>
    <w:bookmarkStart w:id="32" w:name="сценарии"/>
    <w:p>
      <w:pPr>
        <w:pStyle w:val="Heading4"/>
      </w:pPr>
      <w:r>
        <w:t xml:space="preserve">Сценарии</w:t>
      </w:r>
    </w:p>
    <w:p>
      <w:pPr>
        <w:pStyle w:val="Compact"/>
        <w:numPr>
          <w:ilvl w:val="0"/>
          <w:numId w:val="1007"/>
        </w:numPr>
      </w:pPr>
      <w:r>
        <w:t xml:space="preserve">5 000 RPS на API-шлюзе в течение 30 минут.</w:t>
      </w:r>
    </w:p>
    <w:p>
      <w:pPr>
        <w:pStyle w:val="Compact"/>
        <w:numPr>
          <w:ilvl w:val="0"/>
          <w:numId w:val="1007"/>
        </w:numPr>
      </w:pPr>
      <w:r>
        <w:t xml:space="preserve">50 000 одновременных пользователей.</w:t>
      </w:r>
    </w:p>
    <w:p>
      <w:pPr>
        <w:pStyle w:val="Compact"/>
        <w:numPr>
          <w:ilvl w:val="0"/>
          <w:numId w:val="1007"/>
        </w:numPr>
      </w:pPr>
      <w:r>
        <w:t xml:space="preserve">Регистрация 1 000 новых пользователей за 5 минут.</w:t>
      </w:r>
    </w:p>
    <w:p>
      <w:pPr>
        <w:pStyle w:val="Compact"/>
        <w:numPr>
          <w:ilvl w:val="0"/>
          <w:numId w:val="1007"/>
        </w:numPr>
      </w:pPr>
      <w:r>
        <w:t xml:space="preserve">Выпуск 100 ЦФА за час.</w:t>
      </w:r>
    </w:p>
    <w:bookmarkEnd w:id="32"/>
    <w:bookmarkStart w:id="33" w:name="критерии-успеха-1"/>
    <w:p>
      <w:pPr>
        <w:pStyle w:val="Heading4"/>
      </w:pPr>
      <w:r>
        <w:t xml:space="preserve">Критерии успеха</w:t>
      </w:r>
    </w:p>
    <w:p>
      <w:pPr>
        <w:pStyle w:val="Compact"/>
        <w:numPr>
          <w:ilvl w:val="0"/>
          <w:numId w:val="1008"/>
        </w:numPr>
      </w:pPr>
      <w:r>
        <w:t xml:space="preserve">Время отклика P95 ≤ 200 мс.</w:t>
      </w:r>
    </w:p>
    <w:p>
      <w:pPr>
        <w:pStyle w:val="Compact"/>
        <w:numPr>
          <w:ilvl w:val="0"/>
          <w:numId w:val="1008"/>
        </w:numPr>
      </w:pPr>
      <w:r>
        <w:t xml:space="preserve">Error rate ≤ 0,1%.</w:t>
      </w:r>
    </w:p>
    <w:p>
      <w:pPr>
        <w:pStyle w:val="Compact"/>
        <w:numPr>
          <w:ilvl w:val="0"/>
          <w:numId w:val="1008"/>
        </w:numPr>
      </w:pPr>
      <w:r>
        <w:t xml:space="preserve">Cold start ≤ 2 секунды на 4G.</w:t>
      </w:r>
    </w:p>
    <w:p>
      <w:pPr>
        <w:pStyle w:val="Compact"/>
        <w:numPr>
          <w:ilvl w:val="0"/>
          <w:numId w:val="1008"/>
        </w:numPr>
      </w:pPr>
      <w:r>
        <w:t xml:space="preserve">Memory peak ≤ 300 МБ.</w:t>
      </w:r>
    </w:p>
    <w:bookmarkEnd w:id="33"/>
    <w:bookmarkEnd w:id="34"/>
    <w:bookmarkStart w:id="37" w:name="испытания-безопасности-1"/>
    <w:p>
      <w:pPr>
        <w:pStyle w:val="Heading3"/>
      </w:pPr>
      <w:r>
        <w:t xml:space="preserve">4.3. Испытания безопасности</w:t>
      </w:r>
    </w:p>
    <w:bookmarkStart w:id="35" w:name="виды-проверок"/>
    <w:p>
      <w:pPr>
        <w:pStyle w:val="Heading4"/>
      </w:pPr>
      <w:r>
        <w:t xml:space="preserve">Виды проверок</w:t>
      </w:r>
    </w:p>
    <w:p>
      <w:pPr>
        <w:pStyle w:val="Compact"/>
        <w:numPr>
          <w:ilvl w:val="0"/>
          <w:numId w:val="1009"/>
        </w:numPr>
      </w:pPr>
      <w:r>
        <w:t xml:space="preserve">Статический анализ кода (SAST): PT Application Inspector, PVS-Studio.</w:t>
      </w:r>
    </w:p>
    <w:p>
      <w:pPr>
        <w:pStyle w:val="Compact"/>
        <w:numPr>
          <w:ilvl w:val="0"/>
          <w:numId w:val="1009"/>
        </w:numPr>
      </w:pPr>
      <w:r>
        <w:t xml:space="preserve">Динамический анализ (DAST): PT BlackBox.</w:t>
      </w:r>
    </w:p>
    <w:p>
      <w:pPr>
        <w:pStyle w:val="Compact"/>
        <w:numPr>
          <w:ilvl w:val="0"/>
          <w:numId w:val="1009"/>
        </w:numPr>
      </w:pPr>
      <w:r>
        <w:t xml:space="preserve">Анализ компонентов (SCA): обнаружение уязвимых библиотек.</w:t>
      </w:r>
    </w:p>
    <w:p>
      <w:pPr>
        <w:pStyle w:val="Compact"/>
        <w:numPr>
          <w:ilvl w:val="0"/>
          <w:numId w:val="1009"/>
        </w:numPr>
      </w:pPr>
      <w:r>
        <w:t xml:space="preserve">Внешний пентест аккредитованной лабораторией.</w:t>
      </w:r>
    </w:p>
    <w:p>
      <w:pPr>
        <w:pStyle w:val="Compact"/>
        <w:numPr>
          <w:ilvl w:val="0"/>
          <w:numId w:val="1009"/>
        </w:numPr>
      </w:pPr>
      <w:r>
        <w:t xml:space="preserve">Внутренний Red Team.</w:t>
      </w:r>
    </w:p>
    <w:p>
      <w:pPr>
        <w:pStyle w:val="Compact"/>
        <w:numPr>
          <w:ilvl w:val="0"/>
          <w:numId w:val="1009"/>
        </w:numPr>
      </w:pPr>
      <w:r>
        <w:t xml:space="preserve">Проверка на соответствие OWASP MASVS L2+.</w:t>
      </w:r>
    </w:p>
    <w:bookmarkEnd w:id="35"/>
    <w:bookmarkStart w:id="36" w:name="критерии-успеха-2"/>
    <w:p>
      <w:pPr>
        <w:pStyle w:val="Heading4"/>
      </w:pPr>
      <w:r>
        <w:t xml:space="preserve">Критерии успеха</w:t>
      </w:r>
    </w:p>
    <w:p>
      <w:pPr>
        <w:pStyle w:val="Compact"/>
        <w:numPr>
          <w:ilvl w:val="0"/>
          <w:numId w:val="1010"/>
        </w:numPr>
      </w:pPr>
      <w:r>
        <w:t xml:space="preserve">0 уязвимостей категорий Critical и High.</w:t>
      </w:r>
    </w:p>
    <w:p>
      <w:pPr>
        <w:pStyle w:val="Compact"/>
        <w:numPr>
          <w:ilvl w:val="0"/>
          <w:numId w:val="1010"/>
        </w:numPr>
      </w:pPr>
      <w:r>
        <w:t xml:space="preserve">Не более 5 уязвимостей Medium с принятым риском.</w:t>
      </w:r>
    </w:p>
    <w:p>
      <w:pPr>
        <w:pStyle w:val="Compact"/>
        <w:numPr>
          <w:ilvl w:val="0"/>
          <w:numId w:val="1010"/>
        </w:numPr>
      </w:pPr>
      <w:r>
        <w:t xml:space="preserve">Подтверждение соответствия ГОСТ Р 57580.1 уровня 4.</w:t>
      </w:r>
    </w:p>
    <w:bookmarkEnd w:id="36"/>
    <w:bookmarkEnd w:id="37"/>
    <w:bookmarkStart w:id="40" w:name="испытания-доступности-1"/>
    <w:p>
      <w:pPr>
        <w:pStyle w:val="Heading3"/>
      </w:pPr>
      <w:r>
        <w:t xml:space="preserve">4.4. Испытания доступности</w:t>
      </w:r>
    </w:p>
    <w:bookmarkStart w:id="38" w:name="виды-проверок-1"/>
    <w:p>
      <w:pPr>
        <w:pStyle w:val="Heading4"/>
      </w:pPr>
      <w:r>
        <w:t xml:space="preserve">Виды проверок</w:t>
      </w:r>
    </w:p>
    <w:p>
      <w:pPr>
        <w:pStyle w:val="Compact"/>
        <w:numPr>
          <w:ilvl w:val="0"/>
          <w:numId w:val="1011"/>
        </w:numPr>
      </w:pPr>
      <w:r>
        <w:t xml:space="preserve">Автоматическая проверка через axe-core / WAVE.</w:t>
      </w:r>
    </w:p>
    <w:p>
      <w:pPr>
        <w:pStyle w:val="Compact"/>
        <w:numPr>
          <w:ilvl w:val="0"/>
          <w:numId w:val="1011"/>
        </w:numPr>
      </w:pPr>
      <w:r>
        <w:t xml:space="preserve">Тестирование с экранными читалками (VoiceOver, TalkBack, Narrator).</w:t>
      </w:r>
    </w:p>
    <w:p>
      <w:pPr>
        <w:pStyle w:val="Compact"/>
        <w:numPr>
          <w:ilvl w:val="0"/>
          <w:numId w:val="1011"/>
        </w:numPr>
      </w:pPr>
      <w:r>
        <w:t xml:space="preserve">Тестирование с увеличенным шрифтом.</w:t>
      </w:r>
    </w:p>
    <w:p>
      <w:pPr>
        <w:pStyle w:val="Compact"/>
        <w:numPr>
          <w:ilvl w:val="0"/>
          <w:numId w:val="1011"/>
        </w:numPr>
      </w:pPr>
      <w:r>
        <w:t xml:space="preserve">Проверка контрастности (≥ 4,5:1 для основного текста).</w:t>
      </w:r>
    </w:p>
    <w:bookmarkEnd w:id="38"/>
    <w:bookmarkStart w:id="39" w:name="критерии-успеха-3"/>
    <w:p>
      <w:pPr>
        <w:pStyle w:val="Heading4"/>
      </w:pPr>
      <w:r>
        <w:t xml:space="preserve">Критерии успеха</w:t>
      </w:r>
    </w:p>
    <w:p>
      <w:pPr>
        <w:pStyle w:val="Compact"/>
        <w:numPr>
          <w:ilvl w:val="0"/>
          <w:numId w:val="1012"/>
        </w:numPr>
      </w:pPr>
      <w:r>
        <w:t xml:space="preserve">Соответствие WCAG 2.2 уровня AA на 100%.</w:t>
      </w:r>
    </w:p>
    <w:p>
      <w:pPr>
        <w:pStyle w:val="Compact"/>
        <w:numPr>
          <w:ilvl w:val="0"/>
          <w:numId w:val="1012"/>
        </w:numPr>
      </w:pPr>
      <w:r>
        <w:t xml:space="preserve">Все интерактивные элементы доступны с клавиатуры.</w:t>
      </w:r>
    </w:p>
    <w:p>
      <w:pPr>
        <w:pStyle w:val="Compact"/>
        <w:numPr>
          <w:ilvl w:val="0"/>
          <w:numId w:val="1012"/>
        </w:numPr>
      </w:pPr>
      <w:r>
        <w:t xml:space="preserve">Все изображения имеют alt-атрибуты.</w:t>
      </w:r>
    </w:p>
    <w:bookmarkEnd w:id="39"/>
    <w:bookmarkEnd w:id="40"/>
    <w:bookmarkStart w:id="43" w:name="испытания-совместимости-1"/>
    <w:p>
      <w:pPr>
        <w:pStyle w:val="Heading3"/>
      </w:pPr>
      <w:r>
        <w:t xml:space="preserve">4.5. Испытания совместимости</w:t>
      </w:r>
    </w:p>
    <w:bookmarkStart w:id="41" w:name="парк-устройств"/>
    <w:p>
      <w:pPr>
        <w:pStyle w:val="Heading4"/>
      </w:pPr>
      <w:r>
        <w:t xml:space="preserve">Парк устройств</w:t>
      </w:r>
    </w:p>
    <w:p>
      <w:pPr>
        <w:pStyle w:val="FirstParagraph"/>
      </w:pPr>
      <w:r>
        <w:rPr>
          <w:b/>
          <w:bCs/>
        </w:rPr>
        <w:t xml:space="preserve">Android:</w:t>
      </w:r>
      <w:r>
        <w:t xml:space="preserve"> </w:t>
      </w:r>
      <w:r>
        <w:t xml:space="preserve">- Samsung Galaxy S22, S23, S24.</w:t>
      </w:r>
      <w:r>
        <w:t xml:space="preserve"> </w:t>
      </w:r>
      <w:r>
        <w:t xml:space="preserve">- Xiaomi Redmi Note 12, 13.</w:t>
      </w:r>
      <w:r>
        <w:t xml:space="preserve"> </w:t>
      </w:r>
      <w:r>
        <w:t xml:space="preserve">- Realme C55, C65.</w:t>
      </w:r>
      <w:r>
        <w:t xml:space="preserve"> </w:t>
      </w:r>
      <w:r>
        <w:t xml:space="preserve">- Honor 90, X9.</w:t>
      </w:r>
      <w:r>
        <w:t xml:space="preserve"> </w:t>
      </w:r>
      <w:r>
        <w:t xml:space="preserve">- Pixel 7, 8.</w:t>
      </w:r>
    </w:p>
    <w:p>
      <w:pPr>
        <w:pStyle w:val="BodyText"/>
      </w:pPr>
      <w:r>
        <w:rPr>
          <w:b/>
          <w:bCs/>
        </w:rPr>
        <w:t xml:space="preserve">iOS:</w:t>
      </w:r>
      <w:r>
        <w:t xml:space="preserve"> </w:t>
      </w:r>
      <w:r>
        <w:t xml:space="preserve">- iPhone SE (3-го поколения).</w:t>
      </w:r>
      <w:r>
        <w:t xml:space="preserve"> </w:t>
      </w:r>
      <w:r>
        <w:t xml:space="preserve">- iPhone 13, 14, 15, 16.</w:t>
      </w:r>
      <w:r>
        <w:t xml:space="preserve"> </w:t>
      </w:r>
      <w:r>
        <w:t xml:space="preserve">- iPad 9-го поколения, iPad Pro.</w:t>
      </w:r>
    </w:p>
    <w:p>
      <w:pPr>
        <w:pStyle w:val="BodyText"/>
      </w:pPr>
      <w:r>
        <w:rPr>
          <w:b/>
          <w:bCs/>
        </w:rPr>
        <w:t xml:space="preserve">Windows:</w:t>
      </w:r>
      <w:r>
        <w:t xml:space="preserve"> </w:t>
      </w:r>
      <w:r>
        <w:t xml:space="preserve">- Surface Pro 9, 10.</w:t>
      </w:r>
      <w:r>
        <w:t xml:space="preserve"> </w:t>
      </w:r>
      <w:r>
        <w:t xml:space="preserve">- Типовые рабочие станции с Windows 10/11.</w:t>
      </w:r>
      <w:r>
        <w:t xml:space="preserve"> </w:t>
      </w:r>
      <w:r>
        <w:t xml:space="preserve">- Surface Go (ARM64).</w:t>
      </w:r>
    </w:p>
    <w:bookmarkEnd w:id="41"/>
    <w:bookmarkStart w:id="42" w:name="критерии-успеха-4"/>
    <w:p>
      <w:pPr>
        <w:pStyle w:val="Heading4"/>
      </w:pPr>
      <w:r>
        <w:t xml:space="preserve">Критерии успеха</w:t>
      </w:r>
    </w:p>
    <w:p>
      <w:pPr>
        <w:pStyle w:val="Compact"/>
        <w:numPr>
          <w:ilvl w:val="0"/>
          <w:numId w:val="1013"/>
        </w:numPr>
      </w:pPr>
      <w:r>
        <w:t xml:space="preserve">Корректная работа на каждом устройстве.</w:t>
      </w:r>
    </w:p>
    <w:p>
      <w:pPr>
        <w:pStyle w:val="Compact"/>
        <w:numPr>
          <w:ilvl w:val="0"/>
          <w:numId w:val="1013"/>
        </w:numPr>
      </w:pPr>
      <w:r>
        <w:t xml:space="preserve">Адаптивная вёрстка от 360 × 640 до 2560 × 1600.</w:t>
      </w:r>
    </w:p>
    <w:bookmarkEnd w:id="42"/>
    <w:bookmarkEnd w:id="43"/>
    <w:bookmarkEnd w:id="44"/>
    <w:bookmarkStart w:id="47" w:name="отчётность-по-испытаниям"/>
    <w:p>
      <w:pPr>
        <w:pStyle w:val="Heading2"/>
      </w:pPr>
      <w:r>
        <w:t xml:space="preserve">5. Отчётность по испытаниям</w:t>
      </w:r>
    </w:p>
    <w:bookmarkStart w:id="45" w:name="состав-отчёта"/>
    <w:p>
      <w:pPr>
        <w:pStyle w:val="Heading3"/>
      </w:pPr>
      <w:r>
        <w:t xml:space="preserve">5.1. Состав отчёта</w:t>
      </w:r>
    </w:p>
    <w:p>
      <w:pPr>
        <w:pStyle w:val="Compact"/>
        <w:numPr>
          <w:ilvl w:val="0"/>
          <w:numId w:val="1014"/>
        </w:numPr>
      </w:pPr>
      <w:r>
        <w:t xml:space="preserve">Протокол функциональных испытаний.</w:t>
      </w:r>
    </w:p>
    <w:p>
      <w:pPr>
        <w:pStyle w:val="Compact"/>
        <w:numPr>
          <w:ilvl w:val="0"/>
          <w:numId w:val="1014"/>
        </w:numPr>
      </w:pPr>
      <w:r>
        <w:t xml:space="preserve">Протокол нагрузочных испытаний.</w:t>
      </w:r>
    </w:p>
    <w:p>
      <w:pPr>
        <w:pStyle w:val="Compact"/>
        <w:numPr>
          <w:ilvl w:val="0"/>
          <w:numId w:val="1014"/>
        </w:numPr>
      </w:pPr>
      <w:r>
        <w:t xml:space="preserve">Отчёт о пентесте.</w:t>
      </w:r>
    </w:p>
    <w:p>
      <w:pPr>
        <w:pStyle w:val="Compact"/>
        <w:numPr>
          <w:ilvl w:val="0"/>
          <w:numId w:val="1014"/>
        </w:numPr>
      </w:pPr>
      <w:r>
        <w:t xml:space="preserve">Сертификаты соответствия.</w:t>
      </w:r>
    </w:p>
    <w:p>
      <w:pPr>
        <w:pStyle w:val="Compact"/>
        <w:numPr>
          <w:ilvl w:val="0"/>
          <w:numId w:val="1014"/>
        </w:numPr>
      </w:pPr>
      <w:r>
        <w:t xml:space="preserve">Реестр найденных и устранённых дефектов.</w:t>
      </w:r>
    </w:p>
    <w:bookmarkEnd w:id="45"/>
    <w:bookmarkStart w:id="46" w:name="хранение"/>
    <w:p>
      <w:pPr>
        <w:pStyle w:val="Heading3"/>
      </w:pPr>
      <w:r>
        <w:t xml:space="preserve">5.2. Хранение</w:t>
      </w:r>
    </w:p>
    <w:p>
      <w:pPr>
        <w:pStyle w:val="FirstParagraph"/>
      </w:pPr>
      <w:r>
        <w:t xml:space="preserve">Все артефакты испытаний хранятся в системе управления качеством оператора платформы не менее 10 лет (соответствует требованиям 152-ФЗ и регуляторов).</w:t>
      </w:r>
    </w:p>
    <w:bookmarkEnd w:id="46"/>
    <w:bookmarkEnd w:id="47"/>
    <w:bookmarkStart w:id="51" w:name="приёмка"/>
    <w:p>
      <w:pPr>
        <w:pStyle w:val="Heading2"/>
      </w:pPr>
      <w:r>
        <w:t xml:space="preserve">6. Приёмка</w:t>
      </w:r>
    </w:p>
    <w:bookmarkStart w:id="48" w:name="состав-комиссии"/>
    <w:p>
      <w:pPr>
        <w:pStyle w:val="Heading3"/>
      </w:pPr>
      <w:r>
        <w:t xml:space="preserve">6.1. Состав комиссии</w:t>
      </w:r>
    </w:p>
    <w:p>
      <w:pPr>
        <w:pStyle w:val="Compact"/>
        <w:numPr>
          <w:ilvl w:val="0"/>
          <w:numId w:val="1015"/>
        </w:numPr>
      </w:pPr>
      <w:r>
        <w:t xml:space="preserve">Представитель заказчика (Кагиров А.-Х. А.).</w:t>
      </w:r>
    </w:p>
    <w:p>
      <w:pPr>
        <w:pStyle w:val="Compact"/>
        <w:numPr>
          <w:ilvl w:val="0"/>
          <w:numId w:val="1015"/>
        </w:numPr>
      </w:pPr>
      <w:r>
        <w:t xml:space="preserve">Представитель оператора платформы.</w:t>
      </w:r>
    </w:p>
    <w:p>
      <w:pPr>
        <w:pStyle w:val="Compact"/>
        <w:numPr>
          <w:ilvl w:val="0"/>
          <w:numId w:val="1015"/>
        </w:numPr>
      </w:pPr>
      <w:r>
        <w:t xml:space="preserve">Представитель Банка России.</w:t>
      </w:r>
    </w:p>
    <w:p>
      <w:pPr>
        <w:pStyle w:val="Compact"/>
        <w:numPr>
          <w:ilvl w:val="0"/>
          <w:numId w:val="1015"/>
        </w:numPr>
      </w:pPr>
      <w:r>
        <w:t xml:space="preserve">Представитель Минфин / Минцифры (приглашённые).</w:t>
      </w:r>
    </w:p>
    <w:p>
      <w:pPr>
        <w:pStyle w:val="Compact"/>
        <w:numPr>
          <w:ilvl w:val="0"/>
          <w:numId w:val="1015"/>
        </w:numPr>
      </w:pPr>
      <w:r>
        <w:t xml:space="preserve">Главный архитектор проекта.</w:t>
      </w:r>
    </w:p>
    <w:p>
      <w:pPr>
        <w:pStyle w:val="Compact"/>
        <w:numPr>
          <w:ilvl w:val="0"/>
          <w:numId w:val="1015"/>
        </w:numPr>
      </w:pPr>
      <w:r>
        <w:t xml:space="preserve">Руководитель ИБ-команды.</w:t>
      </w:r>
    </w:p>
    <w:bookmarkEnd w:id="48"/>
    <w:bookmarkStart w:id="49" w:name="критерии-приёмки"/>
    <w:p>
      <w:pPr>
        <w:pStyle w:val="Heading3"/>
      </w:pPr>
      <w:r>
        <w:t xml:space="preserve">6.2. Критерии приёмки</w:t>
      </w:r>
    </w:p>
    <w:p>
      <w:pPr>
        <w:pStyle w:val="Compact"/>
        <w:numPr>
          <w:ilvl w:val="0"/>
          <w:numId w:val="1016"/>
        </w:numPr>
      </w:pPr>
      <w:r>
        <w:t xml:space="preserve">Все функциональные требования выполнены.</w:t>
      </w:r>
    </w:p>
    <w:p>
      <w:pPr>
        <w:pStyle w:val="Compact"/>
        <w:numPr>
          <w:ilvl w:val="0"/>
          <w:numId w:val="1016"/>
        </w:numPr>
      </w:pPr>
      <w:r>
        <w:t xml:space="preserve">Все нагрузочные требования выполнены.</w:t>
      </w:r>
    </w:p>
    <w:p>
      <w:pPr>
        <w:pStyle w:val="Compact"/>
        <w:numPr>
          <w:ilvl w:val="0"/>
          <w:numId w:val="1016"/>
        </w:numPr>
      </w:pPr>
      <w:r>
        <w:t xml:space="preserve">Сертификация СЗИ пройдена.</w:t>
      </w:r>
    </w:p>
    <w:p>
      <w:pPr>
        <w:pStyle w:val="Compact"/>
        <w:numPr>
          <w:ilvl w:val="0"/>
          <w:numId w:val="1016"/>
        </w:numPr>
      </w:pPr>
      <w:r>
        <w:t xml:space="preserve">Сертификация в реестре российского ПО пройдена.</w:t>
      </w:r>
    </w:p>
    <w:p>
      <w:pPr>
        <w:pStyle w:val="Compact"/>
        <w:numPr>
          <w:ilvl w:val="0"/>
          <w:numId w:val="1016"/>
        </w:numPr>
      </w:pPr>
      <w:r>
        <w:t xml:space="preserve">Публикация в RuStore одобрена.</w:t>
      </w:r>
    </w:p>
    <w:p>
      <w:pPr>
        <w:pStyle w:val="Compact"/>
        <w:numPr>
          <w:ilvl w:val="0"/>
          <w:numId w:val="1016"/>
        </w:numPr>
      </w:pPr>
      <w:r>
        <w:t xml:space="preserve">Бета-тестирование завершено успешно (crash-free ≥ 99,8%).</w:t>
      </w:r>
    </w:p>
    <w:bookmarkEnd w:id="49"/>
    <w:bookmarkStart w:id="50" w:name="документы-приёмки"/>
    <w:p>
      <w:pPr>
        <w:pStyle w:val="Heading3"/>
      </w:pPr>
      <w:r>
        <w:t xml:space="preserve">6.3. Документы приёмки</w:t>
      </w:r>
    </w:p>
    <w:p>
      <w:pPr>
        <w:pStyle w:val="Compact"/>
        <w:numPr>
          <w:ilvl w:val="0"/>
          <w:numId w:val="1017"/>
        </w:numPr>
      </w:pPr>
      <w:r>
        <w:t xml:space="preserve">Акт приёмочных испытаний.</w:t>
      </w:r>
    </w:p>
    <w:p>
      <w:pPr>
        <w:pStyle w:val="Compact"/>
        <w:numPr>
          <w:ilvl w:val="0"/>
          <w:numId w:val="1017"/>
        </w:numPr>
      </w:pPr>
      <w:r>
        <w:t xml:space="preserve">Акт ввода в опытную эксплуатацию.</w:t>
      </w:r>
    </w:p>
    <w:p>
      <w:pPr>
        <w:pStyle w:val="Compact"/>
        <w:numPr>
          <w:ilvl w:val="0"/>
          <w:numId w:val="1017"/>
        </w:numPr>
      </w:pPr>
      <w:r>
        <w:t xml:space="preserve">Акт ввода в промышленную эксплуатацию.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соответствует требованиям ГОСТ 19.301-79 «Программа и методика испытаний».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2026-05-23T23:01:27Z</dcterms:created>
  <dcterms:modified xsi:type="dcterms:W3CDTF">2026-05-23T23:01:27Z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