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требования-информационной-безопасности"/>
    <w:p>
      <w:pPr>
        <w:pStyle w:val="Heading1"/>
      </w:pPr>
      <w:r>
        <w:t xml:space="preserve">Требования информационной безопасности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РСФСР.МП.10.ТБ</w:t>
      </w:r>
    </w:p>
    <w:p>
      <w:r>
        <w:pict>
          <v:rect style="width:0;height:1.5pt" o:hralign="center" o:hrstd="t" o:hr="t"/>
        </w:pict>
      </w:r>
    </w:p>
    <w:bookmarkEnd w:id="9"/>
    <w:bookmarkStart w:id="10" w:name="категория-и-уровень-защищённости"/>
    <w:p>
      <w:pPr>
        <w:pStyle w:val="Heading2"/>
      </w:pPr>
      <w:r>
        <w:t xml:space="preserve">1. Категория и уровень защищённости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 объекта КИИ (ФЗ-187)</w:t>
            </w:r>
          </w:p>
        </w:tc>
        <w:tc>
          <w:tcPr/>
          <w:p>
            <w:pPr>
              <w:pStyle w:val="Compact"/>
            </w:pPr>
            <w:r>
              <w:t xml:space="preserve">1 (наивысшая)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защищённости ИСПДн (ПП РФ №1119)</w:t>
            </w:r>
          </w:p>
        </w:tc>
        <w:tc>
          <w:tcPr/>
          <w:p>
            <w:pPr>
              <w:pStyle w:val="Compact"/>
            </w:pPr>
            <w:r>
              <w:t xml:space="preserve">УЗ-1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защиты по ГОСТ Р 57580.1</w:t>
            </w:r>
          </w:p>
        </w:tc>
        <w:tc>
          <w:tcPr/>
          <w:p>
            <w:pPr>
              <w:pStyle w:val="Compact"/>
            </w:pPr>
            <w:r>
              <w:t xml:space="preserve">4 (максимальный)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ГИС (Приказ ФСТЭК №17)</w:t>
            </w:r>
          </w:p>
        </w:tc>
        <w:tc>
          <w:tcPr/>
          <w:p>
            <w:pPr>
              <w:pStyle w:val="Compact"/>
            </w:pPr>
            <w:r>
              <w:t xml:space="preserve">К1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Соответствие OWASP MASVS</w:t>
            </w:r>
          </w:p>
        </w:tc>
        <w:tc>
          <w:tcPr/>
          <w:p>
            <w:pPr>
              <w:pStyle w:val="Compact"/>
            </w:pPr>
            <w:r>
              <w:t xml:space="preserve">L2+</w:t>
            </w:r>
          </w:p>
        </w:tc>
      </w:tr>
    </w:tbl>
    <w:bookmarkEnd w:id="10"/>
    <w:bookmarkStart w:id="11" w:name="применяемые-нормативные-документы"/>
    <w:p>
      <w:pPr>
        <w:pStyle w:val="Heading2"/>
      </w:pPr>
      <w:r>
        <w:t xml:space="preserve">2. Применяемые нормативные документы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Применимость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ФЗ-152 «О персональных данных»</w:t>
            </w:r>
          </w:p>
        </w:tc>
        <w:tc>
          <w:tcPr/>
          <w:p>
            <w:pPr>
              <w:pStyle w:val="Compact"/>
            </w:pPr>
            <w:r>
              <w:t xml:space="preserve">Защита ПДн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ФЗ-187 «О безопасности КИИ»</w:t>
            </w:r>
          </w:p>
        </w:tc>
        <w:tc>
          <w:tcPr/>
          <w:p>
            <w:pPr>
              <w:pStyle w:val="Compact"/>
            </w:pPr>
            <w:r>
              <w:t xml:space="preserve">Категория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ФЗ-149 «Об информации»</w:t>
            </w:r>
          </w:p>
        </w:tc>
        <w:tc>
          <w:tcPr/>
          <w:p>
            <w:pPr>
              <w:pStyle w:val="Compact"/>
            </w:pPr>
            <w:r>
              <w:t xml:space="preserve">Базовые требования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№683-П</w:t>
            </w:r>
          </w:p>
        </w:tc>
        <w:tc>
          <w:tcPr/>
          <w:p>
            <w:pPr>
              <w:pStyle w:val="Compact"/>
            </w:pPr>
            <w:r>
              <w:t xml:space="preserve">Защита информации в финансовых организациях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№716-П</w:t>
            </w:r>
          </w:p>
        </w:tc>
        <w:tc>
          <w:tcPr/>
          <w:p>
            <w:pPr>
              <w:pStyle w:val="Compact"/>
            </w:pPr>
            <w:r>
              <w:t xml:space="preserve">Операционный 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Указание Банка России №6635-У</w:t>
            </w:r>
          </w:p>
        </w:tc>
        <w:tc>
          <w:tcPr/>
          <w:p>
            <w:pPr>
              <w:pStyle w:val="Compact"/>
            </w:pPr>
            <w:r>
              <w:t xml:space="preserve">Инциденты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№499-П</w:t>
            </w:r>
          </w:p>
        </w:tc>
        <w:tc>
          <w:tcPr/>
          <w:p>
            <w:pPr>
              <w:pStyle w:val="Compact"/>
            </w:pPr>
            <w:r>
              <w:t xml:space="preserve">Идентификация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Положение Банка России №482-П</w:t>
            </w:r>
          </w:p>
        </w:tc>
        <w:tc>
          <w:tcPr/>
          <w:p>
            <w:pPr>
              <w:pStyle w:val="Compact"/>
            </w:pPr>
            <w:r>
              <w:t xml:space="preserve">ЕБС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57580.1-2017</w:t>
            </w:r>
          </w:p>
        </w:tc>
        <w:tc>
          <w:tcPr/>
          <w:p>
            <w:pPr>
              <w:pStyle w:val="Compact"/>
            </w:pPr>
            <w:r>
              <w:t xml:space="preserve">8 направлений защиты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34.10-2012</w:t>
            </w:r>
          </w:p>
        </w:tc>
        <w:tc>
          <w:tcPr/>
          <w:p>
            <w:pPr>
              <w:pStyle w:val="Compact"/>
            </w:pPr>
            <w:r>
              <w:t xml:space="preserve">ЭП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34.11-2012</w:t>
            </w:r>
          </w:p>
        </w:tc>
        <w:tc>
          <w:tcPr/>
          <w:p>
            <w:pPr>
              <w:pStyle w:val="Compact"/>
            </w:pPr>
            <w:r>
              <w:t xml:space="preserve">Хеширование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34.12-2015, ГОСТ Р 34.13-2015</w:t>
            </w:r>
          </w:p>
        </w:tc>
        <w:tc>
          <w:tcPr/>
          <w:p>
            <w:pPr>
              <w:pStyle w:val="Compact"/>
            </w:pPr>
            <w:r>
              <w:t xml:space="preserve">Шифрование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ФСТЭК №239</w:t>
            </w:r>
          </w:p>
        </w:tc>
        <w:tc>
          <w:tcPr/>
          <w:p>
            <w:pPr>
              <w:pStyle w:val="Compact"/>
            </w:pPr>
            <w:r>
              <w:t xml:space="preserve">КИИ 1 категории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ФСТЭК №17</w:t>
            </w:r>
          </w:p>
        </w:tc>
        <w:tc>
          <w:tcPr/>
          <w:p>
            <w:pPr>
              <w:pStyle w:val="Compact"/>
            </w:pPr>
            <w:r>
              <w:t xml:space="preserve">ГИС класса К1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ФСТЭК №21</w:t>
            </w:r>
          </w:p>
        </w:tc>
        <w:tc>
          <w:tcPr/>
          <w:p>
            <w:pPr>
              <w:pStyle w:val="Compact"/>
            </w:pPr>
            <w:r>
              <w:t xml:space="preserve">ПДн</w:t>
            </w:r>
          </w:p>
        </w:tc>
      </w:tr>
    </w:tbl>
    <w:bookmarkEnd w:id="11"/>
    <w:bookmarkStart w:id="16" w:name="защита-данных"/>
    <w:p>
      <w:pPr>
        <w:pStyle w:val="Heading2"/>
      </w:pPr>
      <w:r>
        <w:t xml:space="preserve">3. Защита данных</w:t>
      </w:r>
    </w:p>
    <w:bookmarkStart w:id="12" w:name="защита-данных-в-покое-at-rest"/>
    <w:p>
      <w:pPr>
        <w:pStyle w:val="Heading3"/>
      </w:pPr>
      <w:r>
        <w:t xml:space="preserve">3.1. Защита данных в покое (at rest)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Защита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Токены доступа, refresh-токены</w:t>
            </w:r>
          </w:p>
        </w:tc>
        <w:tc>
          <w:tcPr/>
          <w:p>
            <w:pPr>
              <w:pStyle w:val="Compact"/>
            </w:pPr>
            <w:r>
              <w:t xml:space="preserve">iOS Keychain / Android Keystore / Windows Credential Locker</w:t>
            </w:r>
          </w:p>
        </w:tc>
        <w:tc>
          <w:tcPr/>
          <w:p>
            <w:pPr>
              <w:pStyle w:val="Compact"/>
            </w:pPr>
            <w:r>
              <w:t xml:space="preserve">средствами ОС с биометрической защитой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Криптографические ключи</w:t>
            </w:r>
          </w:p>
        </w:tc>
        <w:tc>
          <w:tcPr/>
          <w:p>
            <w:pPr>
              <w:pStyle w:val="Compact"/>
            </w:pPr>
            <w:r>
              <w:t xml:space="preserve">Secure Enclave / TEE</w:t>
            </w:r>
          </w:p>
        </w:tc>
        <w:tc>
          <w:tcPr/>
          <w:p>
            <w:pPr>
              <w:pStyle w:val="Compact"/>
            </w:pPr>
            <w:r>
              <w:t xml:space="preserve">средствами устройства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Биометрические идентификаторы (но не векторы)</w:t>
            </w:r>
          </w:p>
        </w:tc>
        <w:tc>
          <w:tcPr/>
          <w:p>
            <w:pPr>
              <w:pStyle w:val="Compact"/>
            </w:pPr>
            <w:r>
              <w:t xml:space="preserve">Защищённое хранилище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Сертификаты УКЭП</w:t>
            </w:r>
          </w:p>
        </w:tc>
        <w:tc>
          <w:tcPr/>
          <w:p>
            <w:pPr>
              <w:pStyle w:val="Compact"/>
            </w:pPr>
            <w:r>
              <w:t xml:space="preserve">Защищённое хранилище</w:t>
            </w:r>
          </w:p>
        </w:tc>
        <w:tc>
          <w:tcPr/>
          <w:p>
            <w:pPr>
              <w:pStyle w:val="Compact"/>
            </w:pPr>
            <w:r>
              <w:t xml:space="preserve">средствами 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Кеш бизнес-данных</w:t>
            </w:r>
          </w:p>
        </w:tc>
        <w:tc>
          <w:tcPr/>
          <w:p>
            <w:pPr>
              <w:pStyle w:val="Compact"/>
            </w:pPr>
            <w:r>
              <w:t xml:space="preserve">IndexedDB / SQLite</w:t>
            </w:r>
          </w:p>
        </w:tc>
        <w:tc>
          <w:tcPr/>
          <w:p>
            <w:pPr>
              <w:pStyle w:val="Compact"/>
            </w:pPr>
            <w:r>
              <w:t xml:space="preserve">AES-256 с ключом из защищённого хранилища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Настройки приложения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не шифруется (нечувствительные)</w:t>
            </w:r>
          </w:p>
        </w:tc>
      </w:tr>
    </w:tbl>
    <w:bookmarkEnd w:id="12"/>
    <w:bookmarkStart w:id="13" w:name="защита-данных-в-передаче-in-transit"/>
    <w:p>
      <w:pPr>
        <w:pStyle w:val="Heading3"/>
      </w:pPr>
      <w:r>
        <w:t xml:space="preserve">3.2. Защита данных в передаче (in transit)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TLS 1.3</w:t>
      </w:r>
      <w:r>
        <w:t xml:space="preserve"> </w:t>
      </w:r>
      <w:r>
        <w:t xml:space="preserve">с ГОСТ-сертификатами (КриптоПро TLS) для всех HTTPS-обменов.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mTLS</w:t>
      </w:r>
      <w:r>
        <w:t xml:space="preserve"> </w:t>
      </w:r>
      <w:r>
        <w:t xml:space="preserve">для критичных операций (выпуск ЦФА, подписание смарт-контракта).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Certificate pinning</w:t>
      </w:r>
      <w:r>
        <w:t xml:space="preserve"> </w:t>
      </w:r>
      <w:r>
        <w:t xml:space="preserve">на корневой CA уровня финансовой инфраструктуры РФ.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HSTS</w:t>
      </w:r>
      <w:r>
        <w:t xml:space="preserve"> </w:t>
      </w:r>
      <w:r>
        <w:t xml:space="preserve">для веб-режима (PWA).</w:t>
      </w:r>
    </w:p>
    <w:bookmarkEnd w:id="13"/>
    <w:bookmarkStart w:id="14" w:name="шифрование-на-уровне-сообщений"/>
    <w:p>
      <w:pPr>
        <w:pStyle w:val="Heading3"/>
      </w:pPr>
      <w:r>
        <w:t xml:space="preserve">3.3. Шифрование на уровне сообщений</w:t>
      </w:r>
    </w:p>
    <w:p>
      <w:pPr>
        <w:pStyle w:val="FirstParagraph"/>
      </w:pPr>
      <w:r>
        <w:t xml:space="preserve">Для критичных операций (выпуск ЦФА, подписание) применяется дополнительное шифрование payload на уровне приложения:</w:t>
      </w:r>
      <w:r>
        <w:t xml:space="preserve"> </w:t>
      </w:r>
      <w:r>
        <w:t xml:space="preserve">- Алгоритм: ГОСТ Р 34.12-2015 («Кузнечик» / «Магма»).</w:t>
      </w:r>
      <w:r>
        <w:t xml:space="preserve"> </w:t>
      </w:r>
      <w:r>
        <w:t xml:space="preserve">- Режим: ГОСТ Р 34.13-2015.</w:t>
      </w:r>
    </w:p>
    <w:bookmarkEnd w:id="14"/>
    <w:bookmarkStart w:id="15" w:name="подпись-данных"/>
    <w:p>
      <w:pPr>
        <w:pStyle w:val="Heading3"/>
      </w:pPr>
      <w:r>
        <w:t xml:space="preserve">3.4. Подпись данных</w:t>
      </w:r>
    </w:p>
    <w:p>
      <w:pPr>
        <w:pStyle w:val="Compact"/>
        <w:numPr>
          <w:ilvl w:val="0"/>
          <w:numId w:val="1002"/>
        </w:numPr>
      </w:pPr>
      <w:r>
        <w:t xml:space="preserve">УКЭП пользователя: ГОСТ Р 34.10-2012 с длиной ключа 256/512 бит.</w:t>
      </w:r>
    </w:p>
    <w:p>
      <w:pPr>
        <w:pStyle w:val="Compact"/>
        <w:numPr>
          <w:ilvl w:val="0"/>
          <w:numId w:val="1002"/>
        </w:numPr>
      </w:pPr>
      <w:r>
        <w:t xml:space="preserve">Подпись хеш-функцией: ГОСТ Р 34.11-2012 (Стрибог).</w:t>
      </w:r>
    </w:p>
    <w:p>
      <w:pPr>
        <w:pStyle w:val="Compact"/>
        <w:numPr>
          <w:ilvl w:val="0"/>
          <w:numId w:val="1002"/>
        </w:numPr>
      </w:pPr>
      <w:r>
        <w:t xml:space="preserve">Сертификаты УКЭП выдаются Удостоверяющими центрами, аккредитованными Минцифры России.</w:t>
      </w:r>
    </w:p>
    <w:bookmarkEnd w:id="15"/>
    <w:bookmarkEnd w:id="16"/>
    <w:bookmarkStart w:id="22" w:name="аутентификация-и-авторизация"/>
    <w:p>
      <w:pPr>
        <w:pStyle w:val="Heading2"/>
      </w:pPr>
      <w:r>
        <w:t xml:space="preserve">4. Аутентификация и авторизация</w:t>
      </w:r>
    </w:p>
    <w:bookmarkStart w:id="20" w:name="способы-аутентификации"/>
    <w:p>
      <w:pPr>
        <w:pStyle w:val="Heading3"/>
      </w:pPr>
      <w:r>
        <w:t xml:space="preserve">4.1. Способы аутентификации</w:t>
      </w:r>
    </w:p>
    <w:bookmarkStart w:id="17" w:name="первичная-вход-в-приложение"/>
    <w:p>
      <w:pPr>
        <w:pStyle w:val="Heading4"/>
      </w:pPr>
      <w:r>
        <w:t xml:space="preserve">Первичная (вход в приложение)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ЕСИА</w:t>
      </w:r>
      <w:r>
        <w:t xml:space="preserve"> </w:t>
      </w:r>
      <w:r>
        <w:t xml:space="preserve">— OpenID Connect 1.0 с подтверждённой учётной записью.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ЕБС</w:t>
      </w:r>
      <w:r>
        <w:t xml:space="preserve"> </w:t>
      </w:r>
      <w:r>
        <w:t xml:space="preserve">— биометрическая идентификация (Положение №482-П).</w:t>
      </w:r>
    </w:p>
    <w:bookmarkEnd w:id="17"/>
    <w:bookmarkStart w:id="18" w:name="локальная-повторный-вход"/>
    <w:p>
      <w:pPr>
        <w:pStyle w:val="Heading4"/>
      </w:pPr>
      <w:r>
        <w:t xml:space="preserve">Локальная (повторный вход)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Биометрия устройства</w:t>
      </w:r>
      <w:r>
        <w:t xml:space="preserve"> </w:t>
      </w:r>
      <w:r>
        <w:t xml:space="preserve">— Face ID / Touch ID / Windows Hello.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PIN-код</w:t>
      </w:r>
      <w:r>
        <w:t xml:space="preserve"> </w:t>
      </w:r>
      <w:r>
        <w:t xml:space="preserve">— 4–6 цифр, защищённое хранилище.</w:t>
      </w:r>
    </w:p>
    <w:bookmarkEnd w:id="18"/>
    <w:bookmarkStart w:id="19" w:name="критичные-операции"/>
    <w:p>
      <w:pPr>
        <w:pStyle w:val="Heading4"/>
      </w:pPr>
      <w:r>
        <w:t xml:space="preserve">Критичные операции</w:t>
      </w:r>
    </w:p>
    <w:p>
      <w:pPr>
        <w:pStyle w:val="Compact"/>
        <w:numPr>
          <w:ilvl w:val="0"/>
          <w:numId w:val="1005"/>
        </w:numPr>
      </w:pPr>
      <w:r>
        <w:t xml:space="preserve">Двухфакторная аутентификация: SMS-код + биометрия.</w:t>
      </w:r>
    </w:p>
    <w:p>
      <w:pPr>
        <w:pStyle w:val="Compact"/>
        <w:numPr>
          <w:ilvl w:val="0"/>
          <w:numId w:val="1005"/>
        </w:numPr>
      </w:pPr>
      <w:r>
        <w:t xml:space="preserve">Подписание УКЭП.</w:t>
      </w:r>
    </w:p>
    <w:bookmarkEnd w:id="19"/>
    <w:bookmarkEnd w:id="20"/>
    <w:bookmarkStart w:id="21" w:name="управление-сессиями"/>
    <w:p>
      <w:pPr>
        <w:pStyle w:val="Heading3"/>
      </w:pPr>
      <w:r>
        <w:t xml:space="preserve">4.2. Управление сессиями</w:t>
      </w:r>
    </w:p>
    <w:p>
      <w:pPr>
        <w:pStyle w:val="Compact"/>
        <w:numPr>
          <w:ilvl w:val="0"/>
          <w:numId w:val="1006"/>
        </w:numPr>
      </w:pPr>
      <w:r>
        <w:t xml:space="preserve">Срок жизни access-токена: 15 минут.</w:t>
      </w:r>
    </w:p>
    <w:p>
      <w:pPr>
        <w:pStyle w:val="Compact"/>
        <w:numPr>
          <w:ilvl w:val="0"/>
          <w:numId w:val="1006"/>
        </w:numPr>
      </w:pPr>
      <w:r>
        <w:t xml:space="preserve">Срок жизни refresh-токена: 30 дней.</w:t>
      </w:r>
    </w:p>
    <w:p>
      <w:pPr>
        <w:pStyle w:val="Compact"/>
        <w:numPr>
          <w:ilvl w:val="0"/>
          <w:numId w:val="1006"/>
        </w:numPr>
      </w:pPr>
      <w:r>
        <w:t xml:space="preserve">При длительной неактивности (10 минут) — повторная биометрическая аутентификация.</w:t>
      </w:r>
    </w:p>
    <w:p>
      <w:pPr>
        <w:pStyle w:val="Compact"/>
        <w:numPr>
          <w:ilvl w:val="0"/>
          <w:numId w:val="1006"/>
        </w:numPr>
      </w:pPr>
      <w:r>
        <w:t xml:space="preserve">При смене устройства — все предыдущие сессии аннулируются.</w:t>
      </w:r>
    </w:p>
    <w:bookmarkEnd w:id="21"/>
    <w:bookmarkEnd w:id="22"/>
    <w:bookmarkStart w:id="28" w:name="защита-приложения"/>
    <w:p>
      <w:pPr>
        <w:pStyle w:val="Heading2"/>
      </w:pPr>
      <w:r>
        <w:t xml:space="preserve">5. Защита приложения</w:t>
      </w:r>
    </w:p>
    <w:bookmarkStart w:id="23" w:name="защита-от-компрометации-устройства"/>
    <w:p>
      <w:pPr>
        <w:pStyle w:val="Heading3"/>
      </w:pPr>
      <w:r>
        <w:t xml:space="preserve">5.1. Защита от компрометации устройства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Jailbreak/Root detection</w:t>
      </w:r>
      <w:r>
        <w:t xml:space="preserve"> </w:t>
      </w:r>
      <w:r>
        <w:t xml:space="preserve">— при обнаружении компрометации приложение:</w:t>
      </w:r>
    </w:p>
    <w:p>
      <w:pPr>
        <w:pStyle w:val="Compact"/>
        <w:numPr>
          <w:ilvl w:val="1"/>
          <w:numId w:val="1008"/>
        </w:numPr>
      </w:pPr>
      <w:r>
        <w:t xml:space="preserve">Выводит предупреждение пользователю.</w:t>
      </w:r>
    </w:p>
    <w:p>
      <w:pPr>
        <w:pStyle w:val="Compact"/>
        <w:numPr>
          <w:ilvl w:val="1"/>
          <w:numId w:val="1008"/>
        </w:numPr>
      </w:pPr>
      <w:r>
        <w:t xml:space="preserve">Блокирует функции выпуска ЦФА и подписания.</w:t>
      </w:r>
    </w:p>
    <w:p>
      <w:pPr>
        <w:pStyle w:val="Compact"/>
        <w:numPr>
          <w:ilvl w:val="1"/>
          <w:numId w:val="1008"/>
        </w:numPr>
      </w:pPr>
      <w:r>
        <w:t xml:space="preserve">Сохраняет режим только-чтение для существующих ЦФА.</w:t>
      </w:r>
    </w:p>
    <w:p>
      <w:pPr>
        <w:pStyle w:val="Compact"/>
        <w:numPr>
          <w:ilvl w:val="1"/>
          <w:numId w:val="1008"/>
        </w:numPr>
      </w:pPr>
      <w:r>
        <w:t xml:space="preserve">Отправляет инцидент в SOC.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Emulator detection</w:t>
      </w:r>
      <w:r>
        <w:t xml:space="preserve"> </w:t>
      </w:r>
      <w:r>
        <w:t xml:space="preserve">— отказ работы в эмуляторах (для продуктивной сборки).</w:t>
      </w:r>
    </w:p>
    <w:bookmarkEnd w:id="23"/>
    <w:bookmarkStart w:id="24" w:name="защита-от-обратной-разработки"/>
    <w:p>
      <w:pPr>
        <w:pStyle w:val="Heading3"/>
      </w:pPr>
      <w:r>
        <w:t xml:space="preserve">5.2. Защита от обратной разработки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 obfuscation</w:t>
      </w:r>
      <w:r>
        <w:t xml:space="preserve"> </w:t>
      </w:r>
      <w:r>
        <w:t xml:space="preserve">для всех платформ:</w:t>
      </w:r>
    </w:p>
    <w:p>
      <w:pPr>
        <w:pStyle w:val="Compact"/>
        <w:numPr>
          <w:ilvl w:val="1"/>
          <w:numId w:val="1010"/>
        </w:numPr>
      </w:pPr>
      <w:r>
        <w:t xml:space="preserve">ProGuard / R8 для Android;</w:t>
      </w:r>
    </w:p>
    <w:p>
      <w:pPr>
        <w:pStyle w:val="Compact"/>
        <w:numPr>
          <w:ilvl w:val="1"/>
          <w:numId w:val="1010"/>
        </w:numPr>
      </w:pPr>
      <w:r>
        <w:t xml:space="preserve">bitcode + Swift obfuscation для iOS;</w:t>
      </w:r>
    </w:p>
    <w:p>
      <w:pPr>
        <w:pStyle w:val="Compact"/>
        <w:numPr>
          <w:ilvl w:val="1"/>
          <w:numId w:val="1010"/>
        </w:numPr>
      </w:pPr>
      <w:r>
        <w:t xml:space="preserve">.NET obfuscation для Windows;</w:t>
      </w:r>
    </w:p>
    <w:p>
      <w:pPr>
        <w:pStyle w:val="Compact"/>
        <w:numPr>
          <w:ilvl w:val="1"/>
          <w:numId w:val="1010"/>
        </w:numPr>
      </w:pPr>
      <w:r>
        <w:t xml:space="preserve">JavaScript obfuscation для PWA.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Native code integrity</w:t>
      </w:r>
      <w:r>
        <w:t xml:space="preserve"> </w:t>
      </w:r>
      <w:r>
        <w:t xml:space="preserve">— проверка контрольных сумм при запуске.</w:t>
      </w:r>
    </w:p>
    <w:bookmarkEnd w:id="24"/>
    <w:bookmarkStart w:id="25" w:name="защита-от-mitm-атак"/>
    <w:p>
      <w:pPr>
        <w:pStyle w:val="Heading3"/>
      </w:pPr>
      <w:r>
        <w:t xml:space="preserve">5.3. Защита от MITM-атак</w:t>
      </w:r>
    </w:p>
    <w:p>
      <w:pPr>
        <w:pStyle w:val="Compact"/>
        <w:numPr>
          <w:ilvl w:val="0"/>
          <w:numId w:val="1011"/>
        </w:numPr>
      </w:pPr>
      <w:r>
        <w:t xml:space="preserve">Certificate pinning на двух уровнях: корневой CA и промежуточный.</w:t>
      </w:r>
    </w:p>
    <w:p>
      <w:pPr>
        <w:pStyle w:val="Compact"/>
        <w:numPr>
          <w:ilvl w:val="0"/>
          <w:numId w:val="1011"/>
        </w:numPr>
      </w:pPr>
      <w:r>
        <w:t xml:space="preserve">Запрет работы при подозрении на установку custom CA на устройстве.</w:t>
      </w:r>
    </w:p>
    <w:bookmarkEnd w:id="25"/>
    <w:bookmarkStart w:id="26" w:name="защита-от-скриншотов"/>
    <w:p>
      <w:pPr>
        <w:pStyle w:val="Heading3"/>
      </w:pPr>
      <w:r>
        <w:t xml:space="preserve">5.4. Защита от скриншотов</w:t>
      </w:r>
    </w:p>
    <w:p>
      <w:pPr>
        <w:pStyle w:val="Compact"/>
        <w:numPr>
          <w:ilvl w:val="0"/>
          <w:numId w:val="1012"/>
        </w:numPr>
      </w:pPr>
      <w:r>
        <w:t xml:space="preserve">Включена защита от скриншотов для экранов:</w:t>
      </w:r>
    </w:p>
    <w:p>
      <w:pPr>
        <w:pStyle w:val="Compact"/>
        <w:numPr>
          <w:ilvl w:val="1"/>
          <w:numId w:val="1013"/>
        </w:numPr>
      </w:pPr>
      <w:r>
        <w:t xml:space="preserve">Подписание смарт-контракта.</w:t>
      </w:r>
    </w:p>
    <w:p>
      <w:pPr>
        <w:pStyle w:val="Compact"/>
        <w:numPr>
          <w:ilvl w:val="1"/>
          <w:numId w:val="1013"/>
        </w:numPr>
      </w:pPr>
      <w:r>
        <w:t xml:space="preserve">OTP-код.</w:t>
      </w:r>
    </w:p>
    <w:p>
      <w:pPr>
        <w:pStyle w:val="Compact"/>
        <w:numPr>
          <w:ilvl w:val="1"/>
          <w:numId w:val="1013"/>
        </w:numPr>
      </w:pPr>
      <w:r>
        <w:t xml:space="preserve">Реквизиты для выплат.</w:t>
      </w:r>
    </w:p>
    <w:p>
      <w:pPr>
        <w:pStyle w:val="Compact"/>
        <w:numPr>
          <w:ilvl w:val="1"/>
          <w:numId w:val="1013"/>
        </w:numPr>
      </w:pPr>
      <w:r>
        <w:t xml:space="preserve">Карточки активов с полным адресом.</w:t>
      </w:r>
    </w:p>
    <w:bookmarkEnd w:id="26"/>
    <w:bookmarkStart w:id="27" w:name="защита-runtime"/>
    <w:p>
      <w:pPr>
        <w:pStyle w:val="Heading3"/>
      </w:pPr>
      <w:r>
        <w:t xml:space="preserve">5.5. Защита runtime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Anti-debug</w:t>
      </w:r>
      <w:r>
        <w:t xml:space="preserve"> </w:t>
      </w:r>
      <w:r>
        <w:t xml:space="preserve">— обнаружение отладчиков и frida-серверов.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Anti-hook</w:t>
      </w:r>
      <w:r>
        <w:t xml:space="preserve"> </w:t>
      </w:r>
      <w:r>
        <w:t xml:space="preserve">— проверка целостности ключевых функций.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Memory protection</w:t>
      </w:r>
      <w:r>
        <w:t xml:space="preserve"> </w:t>
      </w:r>
      <w:r>
        <w:t xml:space="preserve">— очистка секретов из памяти после использования.</w:t>
      </w:r>
    </w:p>
    <w:bookmarkEnd w:id="27"/>
    <w:bookmarkEnd w:id="28"/>
    <w:bookmarkStart w:id="34" w:name="защита-персональных-данных-152-фз"/>
    <w:p>
      <w:pPr>
        <w:pStyle w:val="Heading2"/>
      </w:pPr>
      <w:r>
        <w:t xml:space="preserve">6. Защита персональных данных (152-ФЗ)</w:t>
      </w:r>
    </w:p>
    <w:bookmarkStart w:id="29" w:name="категория-пдн"/>
    <w:p>
      <w:pPr>
        <w:pStyle w:val="Heading3"/>
      </w:pPr>
      <w:r>
        <w:t xml:space="preserve">6.1. Категория ПДн</w:t>
      </w:r>
    </w:p>
    <w:p>
      <w:pPr>
        <w:pStyle w:val="FirstParagraph"/>
      </w:pPr>
      <w:r>
        <w:t xml:space="preserve">Обрабатываются следующие категории ПДн (в соответствии со статьёй 3 152-ФЗ):</w:t>
      </w:r>
      <w:r>
        <w:t xml:space="preserve"> </w:t>
      </w:r>
      <w:r>
        <w:t xml:space="preserve">- Иные категории — основная (ФИО, паспорт, ИНН, контакты, адрес).</w:t>
      </w:r>
      <w:r>
        <w:t xml:space="preserve"> </w:t>
      </w:r>
      <w:r>
        <w:t xml:space="preserve">- Биометрические — при работе с ЕБС.</w:t>
      </w:r>
    </w:p>
    <w:bookmarkEnd w:id="29"/>
    <w:bookmarkStart w:id="30" w:name="согласия"/>
    <w:p>
      <w:pPr>
        <w:pStyle w:val="Heading3"/>
      </w:pPr>
      <w:r>
        <w:t xml:space="preserve">6.2. Согласия</w:t>
      </w:r>
    </w:p>
    <w:p>
      <w:pPr>
        <w:pStyle w:val="Compact"/>
        <w:numPr>
          <w:ilvl w:val="0"/>
          <w:numId w:val="1015"/>
        </w:numPr>
      </w:pPr>
      <w:r>
        <w:t xml:space="preserve">Согласие на обработку ПДн — оформляется через ЕСИА при первом входе.</w:t>
      </w:r>
    </w:p>
    <w:p>
      <w:pPr>
        <w:pStyle w:val="Compact"/>
        <w:numPr>
          <w:ilvl w:val="0"/>
          <w:numId w:val="1015"/>
        </w:numPr>
      </w:pPr>
      <w:r>
        <w:t xml:space="preserve">Возможность отзыва согласия — через раздел «Профиль → Безопасность → Удалить аккаунт».</w:t>
      </w:r>
    </w:p>
    <w:bookmarkEnd w:id="30"/>
    <w:bookmarkStart w:id="31" w:name="локализация"/>
    <w:p>
      <w:pPr>
        <w:pStyle w:val="Heading3"/>
      </w:pPr>
      <w:r>
        <w:t xml:space="preserve">6.3. Локализация</w:t>
      </w:r>
    </w:p>
    <w:p>
      <w:pPr>
        <w:pStyle w:val="FirstParagraph"/>
      </w:pPr>
      <w:r>
        <w:t xml:space="preserve">Все ПДн обрабатываются и хранятся исключительно на территории Российской Федерации в соответствии с пунктом 5 статьи 18 152-ФЗ.</w:t>
      </w:r>
    </w:p>
    <w:bookmarkEnd w:id="31"/>
    <w:bookmarkStart w:id="32" w:name="уровень-защищённости"/>
    <w:p>
      <w:pPr>
        <w:pStyle w:val="Heading3"/>
      </w:pPr>
      <w:r>
        <w:t xml:space="preserve">6.4. Уровень защищённости</w:t>
      </w:r>
    </w:p>
    <w:p>
      <w:pPr>
        <w:pStyle w:val="Compact"/>
        <w:numPr>
          <w:ilvl w:val="0"/>
          <w:numId w:val="1016"/>
        </w:numPr>
      </w:pPr>
      <w:r>
        <w:t xml:space="preserve">УЗ-1 в соответствии с ПП РФ №1119.</w:t>
      </w:r>
    </w:p>
    <w:p>
      <w:pPr>
        <w:pStyle w:val="Compact"/>
        <w:numPr>
          <w:ilvl w:val="0"/>
          <w:numId w:val="1016"/>
        </w:numPr>
      </w:pPr>
      <w:r>
        <w:t xml:space="preserve">Соответствие приказу ФСТЭК России №21.</w:t>
      </w:r>
    </w:p>
    <w:bookmarkEnd w:id="32"/>
    <w:bookmarkStart w:id="33" w:name="уведомление-роскомнадзора"/>
    <w:p>
      <w:pPr>
        <w:pStyle w:val="Heading3"/>
      </w:pPr>
      <w:r>
        <w:t xml:space="preserve">6.5. Уведомление Роскомнадзора</w:t>
      </w:r>
    </w:p>
    <w:p>
      <w:pPr>
        <w:pStyle w:val="FirstParagraph"/>
      </w:pPr>
      <w:r>
        <w:t xml:space="preserve">Оператор внесён в реестр операторов ПДн Роскомнадзора.</w:t>
      </w:r>
    </w:p>
    <w:bookmarkEnd w:id="33"/>
    <w:bookmarkEnd w:id="34"/>
    <w:bookmarkStart w:id="37" w:name="реагирование-на-инциденты"/>
    <w:p>
      <w:pPr>
        <w:pStyle w:val="Heading2"/>
      </w:pPr>
      <w:r>
        <w:t xml:space="preserve">7. Реагирование на инциденты</w:t>
      </w:r>
    </w:p>
    <w:bookmarkStart w:id="35" w:name="категории-инцидентов"/>
    <w:p>
      <w:pPr>
        <w:pStyle w:val="Heading3"/>
      </w:pPr>
      <w:r>
        <w:t xml:space="preserve">7.1. Категории инцидентов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Время реагирования</w:t>
            </w:r>
          </w:p>
        </w:tc>
        <w:tc>
          <w:tcPr/>
          <w:p>
            <w:pPr>
              <w:pStyle w:val="Compact"/>
            </w:pPr>
            <w:r>
              <w:t xml:space="preserve">Уведомление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Компрометация ключей УКЭП, массовая утечка ПДн</w:t>
            </w:r>
          </w:p>
        </w:tc>
        <w:tc>
          <w:tcPr/>
          <w:p>
            <w:pPr>
              <w:pStyle w:val="Compact"/>
            </w:pPr>
            <w:r>
              <w:t xml:space="preserve">≤ 1 час</w:t>
            </w:r>
          </w:p>
        </w:tc>
        <w:tc>
          <w:tcPr/>
          <w:p>
            <w:pPr>
              <w:pStyle w:val="Compact"/>
            </w:pPr>
            <w:r>
              <w:t xml:space="preserve">Банк России, ГосСОПКА, НКЦКИ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Компрометация отдельного аккаунта, попытка несанкционированного выпуска ЦФА</w:t>
            </w:r>
          </w:p>
        </w:tc>
        <w:tc>
          <w:tcPr/>
          <w:p>
            <w:pPr>
              <w:pStyle w:val="Compact"/>
            </w:pPr>
            <w:r>
              <w:t xml:space="preserve">≤ 4 часа</w:t>
            </w:r>
          </w:p>
        </w:tc>
        <w:tc>
          <w:tcPr/>
          <w:p>
            <w:pPr>
              <w:pStyle w:val="Compact"/>
            </w:pPr>
            <w:r>
              <w:t xml:space="preserve">Банк России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Подозрительная активность</w:t>
            </w:r>
          </w:p>
        </w:tc>
        <w:tc>
          <w:tcPr/>
          <w:p>
            <w:pPr>
              <w:pStyle w:val="Compact"/>
            </w:pPr>
            <w:r>
              <w:t xml:space="preserve">≤ 24 часа</w:t>
            </w:r>
          </w:p>
        </w:tc>
        <w:tc>
          <w:tcPr/>
          <w:p>
            <w:pPr>
              <w:pStyle w:val="Compact"/>
            </w:pPr>
            <w:r>
              <w:t xml:space="preserve">Внутренний SOC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Фоновые события</w:t>
            </w:r>
          </w:p>
        </w:tc>
        <w:tc>
          <w:tcPr/>
          <w:p>
            <w:pPr>
              <w:pStyle w:val="Compact"/>
            </w:pPr>
            <w:r>
              <w:t xml:space="preserve">По расписанию</w:t>
            </w:r>
          </w:p>
        </w:tc>
        <w:tc>
          <w:tcPr/>
          <w:p>
            <w:pPr>
              <w:pStyle w:val="Compact"/>
            </w:pPr>
            <w:r>
              <w:t xml:space="preserve">Внутренний SOC</w:t>
            </w:r>
          </w:p>
        </w:tc>
      </w:tr>
    </w:tbl>
    <w:bookmarkEnd w:id="35"/>
    <w:bookmarkStart w:id="36" w:name="регламент-уведомления"/>
    <w:p>
      <w:pPr>
        <w:pStyle w:val="Heading3"/>
      </w:pPr>
      <w:r>
        <w:t xml:space="preserve">7.2. Регламент уведомления</w:t>
      </w:r>
    </w:p>
    <w:p>
      <w:pPr>
        <w:pStyle w:val="FirstParagraph"/>
      </w:pPr>
      <w:r>
        <w:t xml:space="preserve">В соответствии с Указанием Банка России №6635-У:</w:t>
      </w:r>
      <w:r>
        <w:t xml:space="preserve"> </w:t>
      </w:r>
      <w:r>
        <w:t xml:space="preserve">- Критические инциденты — в течение 1 часа.</w:t>
      </w:r>
      <w:r>
        <w:t xml:space="preserve"> </w:t>
      </w:r>
      <w:r>
        <w:t xml:space="preserve">- Высокие — в течение 24 часов.</w:t>
      </w:r>
      <w:r>
        <w:t xml:space="preserve"> </w:t>
      </w:r>
      <w:r>
        <w:t xml:space="preserve">- Полный отчёт — в течение 30 дней.</w:t>
      </w:r>
    </w:p>
    <w:p>
      <w:pPr>
        <w:pStyle w:val="BodyText"/>
      </w:pPr>
      <w:r>
        <w:t xml:space="preserve">Уведомления через защищённый канал ВипНет в формате XML.</w:t>
      </w:r>
    </w:p>
    <w:bookmarkEnd w:id="36"/>
    <w:bookmarkEnd w:id="37"/>
    <w:bookmarkStart w:id="41" w:name="аудит-и-мониторинг"/>
    <w:p>
      <w:pPr>
        <w:pStyle w:val="Heading2"/>
      </w:pPr>
      <w:r>
        <w:t xml:space="preserve">8. Аудит и мониторинг</w:t>
      </w:r>
    </w:p>
    <w:bookmarkStart w:id="38" w:name="журналирование"/>
    <w:p>
      <w:pPr>
        <w:pStyle w:val="Heading3"/>
      </w:pPr>
      <w:r>
        <w:t xml:space="preserve">8.1. Журналирование</w:t>
      </w:r>
    </w:p>
    <w:p>
      <w:pPr>
        <w:pStyle w:val="FirstParagraph"/>
      </w:pPr>
      <w:r>
        <w:t xml:space="preserve">Все ключевые события приложения логируются:</w:t>
      </w:r>
      <w:r>
        <w:t xml:space="preserve"> </w:t>
      </w:r>
      <w:r>
        <w:t xml:space="preserve">- Авторизация (успех/неудача).</w:t>
      </w:r>
      <w:r>
        <w:t xml:space="preserve"> </w:t>
      </w:r>
      <w:r>
        <w:t xml:space="preserve">- Подача актива.</w:t>
      </w:r>
      <w:r>
        <w:t xml:space="preserve"> </w:t>
      </w:r>
      <w:r>
        <w:t xml:space="preserve">- Запуск выпуска ЦФА.</w:t>
      </w:r>
      <w:r>
        <w:t xml:space="preserve"> </w:t>
      </w:r>
      <w:r>
        <w:t xml:space="preserve">- Подписание смарт-контракта.</w:t>
      </w:r>
      <w:r>
        <w:t xml:space="preserve"> </w:t>
      </w:r>
      <w:r>
        <w:t xml:space="preserve">- Получение выплат.</w:t>
      </w:r>
      <w:r>
        <w:t xml:space="preserve"> </w:t>
      </w:r>
      <w:r>
        <w:t xml:space="preserve">- Изменения профиля и настроек.</w:t>
      </w:r>
      <w:r>
        <w:t xml:space="preserve"> </w:t>
      </w:r>
      <w:r>
        <w:t xml:space="preserve">- Изменения биометрических данных.</w:t>
      </w:r>
      <w:r>
        <w:t xml:space="preserve"> </w:t>
      </w:r>
      <w:r>
        <w:t xml:space="preserve">- События безопасности (jailbreak, MITM, неудачная аутентификация).</w:t>
      </w:r>
    </w:p>
    <w:bookmarkEnd w:id="38"/>
    <w:bookmarkStart w:id="39" w:name="хранение-журналов"/>
    <w:p>
      <w:pPr>
        <w:pStyle w:val="Heading3"/>
      </w:pPr>
      <w:r>
        <w:t xml:space="preserve">8.2. Хранение журналов</w:t>
      </w:r>
    </w:p>
    <w:p>
      <w:pPr>
        <w:pStyle w:val="Compact"/>
        <w:numPr>
          <w:ilvl w:val="0"/>
          <w:numId w:val="1017"/>
        </w:numPr>
      </w:pPr>
      <w:r>
        <w:t xml:space="preserve">Operational logs: 13 месяцев.</w:t>
      </w:r>
    </w:p>
    <w:p>
      <w:pPr>
        <w:pStyle w:val="Compact"/>
        <w:numPr>
          <w:ilvl w:val="0"/>
          <w:numId w:val="1017"/>
        </w:numPr>
      </w:pPr>
      <w:r>
        <w:t xml:space="preserve">Security audit logs: 10 лет.</w:t>
      </w:r>
    </w:p>
    <w:p>
      <w:pPr>
        <w:pStyle w:val="Compact"/>
        <w:numPr>
          <w:ilvl w:val="0"/>
          <w:numId w:val="1017"/>
        </w:numPr>
      </w:pPr>
      <w:r>
        <w:t xml:space="preserve">Хранение на серверной части, не на устройстве.</w:t>
      </w:r>
    </w:p>
    <w:bookmarkEnd w:id="39"/>
    <w:bookmarkStart w:id="40" w:name="siem-интеграция"/>
    <w:p>
      <w:pPr>
        <w:pStyle w:val="Heading3"/>
      </w:pPr>
      <w:r>
        <w:t xml:space="preserve">8.3. SIEM-интеграция</w:t>
      </w:r>
    </w:p>
    <w:p>
      <w:pPr>
        <w:pStyle w:val="FirstParagraph"/>
      </w:pPr>
      <w:r>
        <w:t xml:space="preserve">Все события безопасности отправляются в SIEM-систему оператора (KOMRAD / MaxPatrol SIEM / R-Vision SIEM) в реальном времени.</w:t>
      </w:r>
    </w:p>
    <w:bookmarkEnd w:id="40"/>
    <w:bookmarkEnd w:id="41"/>
    <w:bookmarkStart w:id="47" w:name="сертификация"/>
    <w:p>
      <w:pPr>
        <w:pStyle w:val="Heading2"/>
      </w:pPr>
      <w:r>
        <w:t xml:space="preserve">9. Сертификация</w:t>
      </w:r>
    </w:p>
    <w:bookmarkStart w:id="42" w:name="сертификаты-фстэк-россии"/>
    <w:p>
      <w:pPr>
        <w:pStyle w:val="Heading3"/>
      </w:pPr>
      <w:r>
        <w:t xml:space="preserve">9.1. Сертификаты ФСТЭК России</w:t>
      </w:r>
    </w:p>
    <w:p>
      <w:pPr>
        <w:pStyle w:val="Compact"/>
        <w:numPr>
          <w:ilvl w:val="0"/>
          <w:numId w:val="1018"/>
        </w:numPr>
      </w:pPr>
      <w:r>
        <w:t xml:space="preserve">Соответствие приказу №239 (КИИ 1 категории).</w:t>
      </w:r>
    </w:p>
    <w:p>
      <w:pPr>
        <w:pStyle w:val="Compact"/>
        <w:numPr>
          <w:ilvl w:val="0"/>
          <w:numId w:val="1018"/>
        </w:numPr>
      </w:pPr>
      <w:r>
        <w:t xml:space="preserve">Соответствие приказу №17 (К1).</w:t>
      </w:r>
    </w:p>
    <w:p>
      <w:pPr>
        <w:pStyle w:val="Compact"/>
        <w:numPr>
          <w:ilvl w:val="0"/>
          <w:numId w:val="1018"/>
        </w:numPr>
      </w:pPr>
      <w:r>
        <w:t xml:space="preserve">Соответствие приказу №21 (УЗ-1 ПДн).</w:t>
      </w:r>
    </w:p>
    <w:bookmarkEnd w:id="42"/>
    <w:bookmarkStart w:id="43" w:name="сертификаты-фсб-россии"/>
    <w:p>
      <w:pPr>
        <w:pStyle w:val="Heading3"/>
      </w:pPr>
      <w:r>
        <w:t xml:space="preserve">9.2. Сертификаты ФСБ России</w:t>
      </w:r>
    </w:p>
    <w:p>
      <w:pPr>
        <w:pStyle w:val="Compact"/>
        <w:numPr>
          <w:ilvl w:val="0"/>
          <w:numId w:val="1019"/>
        </w:numPr>
      </w:pPr>
      <w:r>
        <w:t xml:space="preserve">Сертификация криптографических средств.</w:t>
      </w:r>
    </w:p>
    <w:bookmarkEnd w:id="43"/>
    <w:bookmarkStart w:id="44" w:name="сертификаты-банка-россии"/>
    <w:p>
      <w:pPr>
        <w:pStyle w:val="Heading3"/>
      </w:pPr>
      <w:r>
        <w:t xml:space="preserve">9.3. Сертификаты Банка России</w:t>
      </w:r>
    </w:p>
    <w:p>
      <w:pPr>
        <w:pStyle w:val="Compact"/>
        <w:numPr>
          <w:ilvl w:val="0"/>
          <w:numId w:val="1020"/>
        </w:numPr>
      </w:pPr>
      <w:r>
        <w:t xml:space="preserve">Соответствие положению №779-П (оператор ИС).</w:t>
      </w:r>
    </w:p>
    <w:p>
      <w:pPr>
        <w:pStyle w:val="Compact"/>
        <w:numPr>
          <w:ilvl w:val="0"/>
          <w:numId w:val="1020"/>
        </w:numPr>
      </w:pPr>
      <w:r>
        <w:t xml:space="preserve">Соответствие положению №683-П.</w:t>
      </w:r>
    </w:p>
    <w:p>
      <w:pPr>
        <w:pStyle w:val="Compact"/>
        <w:numPr>
          <w:ilvl w:val="0"/>
          <w:numId w:val="1020"/>
        </w:numPr>
      </w:pPr>
      <w:r>
        <w:t xml:space="preserve">Соответствие ГОСТ Р 57580.1 уровень 4.</w:t>
      </w:r>
    </w:p>
    <w:bookmarkEnd w:id="44"/>
    <w:bookmarkStart w:id="45" w:name="реестр-минцифры-россии"/>
    <w:p>
      <w:pPr>
        <w:pStyle w:val="Heading3"/>
      </w:pPr>
      <w:r>
        <w:t xml:space="preserve">9.4. Реестр Минцифры России</w:t>
      </w:r>
    </w:p>
    <w:p>
      <w:pPr>
        <w:pStyle w:val="Compact"/>
        <w:numPr>
          <w:ilvl w:val="0"/>
          <w:numId w:val="1021"/>
        </w:numPr>
      </w:pPr>
      <w:r>
        <w:t xml:space="preserve">Включение в Единый реестр российского ПО (ПП РФ №1236).</w:t>
      </w:r>
    </w:p>
    <w:bookmarkEnd w:id="45"/>
    <w:bookmarkStart w:id="46" w:name="регистрация-в-роскомнадзоре"/>
    <w:p>
      <w:pPr>
        <w:pStyle w:val="Heading3"/>
      </w:pPr>
      <w:r>
        <w:t xml:space="preserve">9.5. Регистрация в Роскомнадзоре</w:t>
      </w:r>
    </w:p>
    <w:p>
      <w:pPr>
        <w:pStyle w:val="Compact"/>
        <w:numPr>
          <w:ilvl w:val="0"/>
          <w:numId w:val="1022"/>
        </w:numPr>
      </w:pPr>
      <w:r>
        <w:t xml:space="preserve">Уведомление об обработке ПДн.</w:t>
      </w:r>
    </w:p>
    <w:bookmarkEnd w:id="46"/>
    <w:bookmarkEnd w:id="47"/>
    <w:bookmarkStart w:id="48" w:name="контроль-соответствия"/>
    <w:p>
      <w:pPr>
        <w:pStyle w:val="Heading2"/>
      </w:pPr>
      <w:r>
        <w:t xml:space="preserve">10. Контроль соответствия</w:t>
      </w:r>
    </w:p>
    <w:p>
      <w:pPr>
        <w:pStyle w:val="Compact"/>
        <w:numPr>
          <w:ilvl w:val="0"/>
          <w:numId w:val="1023"/>
        </w:numPr>
      </w:pPr>
      <w:r>
        <w:t xml:space="preserve">Внутренний аудит ИБ — ежегодно.</w:t>
      </w:r>
    </w:p>
    <w:p>
      <w:pPr>
        <w:pStyle w:val="Compact"/>
        <w:numPr>
          <w:ilvl w:val="0"/>
          <w:numId w:val="1023"/>
        </w:numPr>
      </w:pPr>
      <w:r>
        <w:t xml:space="preserve">Внешний пентест аккредитованной лабораторией — ежегодно.</w:t>
      </w:r>
    </w:p>
    <w:p>
      <w:pPr>
        <w:pStyle w:val="Compact"/>
        <w:numPr>
          <w:ilvl w:val="0"/>
          <w:numId w:val="1023"/>
        </w:numPr>
      </w:pPr>
      <w:r>
        <w:t xml:space="preserve">Внутренний Red Team — раз в полугодие.</w:t>
      </w:r>
    </w:p>
    <w:p>
      <w:pPr>
        <w:pStyle w:val="Compact"/>
        <w:numPr>
          <w:ilvl w:val="0"/>
          <w:numId w:val="1023"/>
        </w:numPr>
      </w:pPr>
      <w:r>
        <w:t xml:space="preserve">Проверка соответствия ГОСТ Р 57580.1 — ежегодно.</w:t>
      </w:r>
    </w:p>
    <w:p>
      <w:pPr>
        <w:pStyle w:val="Compact"/>
        <w:numPr>
          <w:ilvl w:val="0"/>
          <w:numId w:val="1023"/>
        </w:numPr>
      </w:pPr>
      <w:r>
        <w:t xml:space="preserve">Регуляторные проверки — по требованию ЦБ, ФСТЭК, ФСБ, Роскомнадзора.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описывает требования информационной безопасности к мобильному приложению ЦП РСФСР и подлежит уточнению по результатам сертификационных испытаний.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2026-05-23T23:01:27Z</dcterms:created>
  <dcterms:modified xsi:type="dcterms:W3CDTF">2026-05-23T23:01:27Z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