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спецификация-программы"/>
    <w:p>
      <w:pPr>
        <w:pStyle w:val="Heading1"/>
      </w:pPr>
      <w:r>
        <w:t xml:space="preserve">Спецификация программы</w:t>
      </w:r>
    </w:p>
    <w:bookmarkStart w:id="9" w:name="цп-рсфср-мобильное-приложение"/>
    <w:p>
      <w:pPr>
        <w:pStyle w:val="Heading2"/>
      </w:pPr>
      <w:r>
        <w:t xml:space="preserve">ЦП РСФСР — мобильное приложение</w:t>
      </w:r>
    </w:p>
    <w:p>
      <w:pPr>
        <w:pStyle w:val="FirstParagraph"/>
      </w:pPr>
      <w:r>
        <w:rPr>
          <w:b/>
          <w:bCs/>
        </w:rPr>
        <w:t xml:space="preserve">Условное обозначение:</w:t>
      </w:r>
      <w:r>
        <w:t xml:space="preserve"> </w:t>
      </w:r>
      <w:r>
        <w:t xml:space="preserve">РСФСР.МП.11.СП</w:t>
      </w:r>
      <w:r>
        <w:t xml:space="preserve"> </w:t>
      </w:r>
      <w:r>
        <w:rPr>
          <w:b/>
          <w:bCs/>
        </w:rPr>
        <w:t xml:space="preserve">Стандарт:</w:t>
      </w:r>
      <w:r>
        <w:t xml:space="preserve"> </w:t>
      </w:r>
      <w:r>
        <w:t xml:space="preserve">ГОСТ 19.202-78</w:t>
      </w:r>
    </w:p>
    <w:p>
      <w:r>
        <w:pict>
          <v:rect style="width:0;height:1.5pt" o:hralign="center" o:hrstd="t" o:hr="t"/>
        </w:pict>
      </w:r>
    </w:p>
    <w:bookmarkEnd w:id="9"/>
    <w:bookmarkStart w:id="10" w:name="сведения-об-изделии"/>
    <w:p>
      <w:pPr>
        <w:pStyle w:val="Heading2"/>
      </w:pPr>
      <w:r>
        <w:t xml:space="preserve">1. Сведения об изделии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Полное наименование</w:t>
            </w:r>
          </w:p>
        </w:tc>
        <w:tc>
          <w:tcPr/>
          <w:p>
            <w:pPr>
              <w:pStyle w:val="Compact"/>
            </w:pPr>
            <w:r>
              <w:t xml:space="preserve">ЦП РСФСР — мобильное приложение залогодателя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Условное обозначение</w:t>
            </w:r>
          </w:p>
        </w:tc>
        <w:tc>
          <w:tcPr/>
          <w:p>
            <w:pPr>
              <w:pStyle w:val="Compact"/>
            </w:pPr>
            <w:r>
              <w:t xml:space="preserve">РСФСР.МП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выпуска</w:t>
            </w:r>
          </w:p>
        </w:tc>
        <w:tc>
          <w:tcPr/>
          <w:p>
            <w:pPr>
              <w:pStyle w:val="Compact"/>
            </w:pPr>
            <w:r>
              <w:t xml:space="preserve">2025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Правообладатель</w:t>
            </w:r>
          </w:p>
        </w:tc>
        <w:tc>
          <w:tcPr/>
          <w:p>
            <w:pPr>
              <w:pStyle w:val="Compact"/>
            </w:pPr>
            <w:r>
              <w:t xml:space="preserve">Кагиров Абдул-Хаким Ахмадович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Свидетельство о депонировании</w:t>
            </w:r>
          </w:p>
        </w:tc>
        <w:tc>
          <w:tcPr/>
          <w:p>
            <w:pPr>
              <w:pStyle w:val="Compact"/>
            </w:pPr>
            <w:r>
              <w:t xml:space="preserve">№4011265 от 19.12.2024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Хеш-функция</w:t>
            </w:r>
          </w:p>
        </w:tc>
        <w:tc>
          <w:tcPr/>
          <w:p>
            <w:pPr>
              <w:pStyle w:val="Compact"/>
            </w:pPr>
            <w:r>
              <w:t xml:space="preserve">ГОСТ-Р 34.11-2012</w:t>
            </w:r>
          </w:p>
        </w:tc>
      </w:tr>
    </w:tbl>
    <w:bookmarkEnd w:id="10"/>
    <w:bookmarkStart w:id="11" w:name="перечень-программных-средств"/>
    <w:p>
      <w:pPr>
        <w:pStyle w:val="Heading2"/>
      </w:pPr>
      <w:r>
        <w:t xml:space="preserve">2. Перечень программных средств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Условное обозначение</w:t>
            </w:r>
          </w:p>
        </w:tc>
        <w:tc>
          <w:tcPr/>
          <w:p>
            <w:pPr>
              <w:pStyle w:val="Compact"/>
            </w:pPr>
            <w:r>
              <w:t xml:space="preserve">Объём, КБ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Исходный код HTML/CSS/JS</w:t>
            </w:r>
          </w:p>
        </w:tc>
        <w:tc>
          <w:tcPr/>
          <w:p>
            <w:pPr>
              <w:pStyle w:val="Compact"/>
            </w:pPr>
            <w:r>
              <w:t xml:space="preserve">РСФСР.МП.ИСХ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Манифест PWA</w:t>
            </w:r>
          </w:p>
        </w:tc>
        <w:tc>
          <w:tcPr/>
          <w:p>
            <w:pPr>
              <w:pStyle w:val="Compact"/>
            </w:pPr>
            <w:r>
              <w:t xml:space="preserve">РСФСР.МП.МНФ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РСФСР.МП.СВР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Иконки (SVG)</w:t>
            </w:r>
          </w:p>
        </w:tc>
        <w:tc>
          <w:tcPr/>
          <w:p>
            <w:pPr>
              <w:pStyle w:val="Compact"/>
            </w:pPr>
            <w:r>
              <w:t xml:space="preserve">РСФСР.МП.ИКН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Разделяемая CSS-библиотека</w:t>
            </w:r>
          </w:p>
        </w:tc>
        <w:tc>
          <w:tcPr/>
          <w:p>
            <w:pPr>
              <w:pStyle w:val="Compact"/>
            </w:pPr>
            <w:r>
              <w:t xml:space="preserve">РСФСР.ОБЩ.БРД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Разделяемая JS-библиотека i18n</w:t>
            </w:r>
          </w:p>
        </w:tc>
        <w:tc>
          <w:tcPr/>
          <w:p>
            <w:pPr>
              <w:pStyle w:val="Compact"/>
            </w:pPr>
            <w:r>
              <w:t xml:space="preserve">РСФСР.ОБЩ.ЛЦЛ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Разделяемая JS-библиотека UI</w:t>
            </w:r>
          </w:p>
        </w:tc>
        <w:tc>
          <w:tcPr/>
          <w:p>
            <w:pPr>
              <w:pStyle w:val="Compact"/>
            </w:pPr>
            <w:r>
              <w:t xml:space="preserve">РСФСР.ОБЩ.УИ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11"/>
    <w:bookmarkStart w:id="12" w:name="технические-характеристики"/>
    <w:p>
      <w:pPr>
        <w:pStyle w:val="Heading2"/>
      </w:pPr>
      <w:r>
        <w:t xml:space="preserve">3. Технические характеристики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приложения (PWA)</w:t>
            </w:r>
          </w:p>
        </w:tc>
        <w:tc>
          <w:tcPr/>
          <w:p>
            <w:pPr>
              <w:pStyle w:val="Compact"/>
            </w:pPr>
            <w:r>
              <w:t xml:space="preserve">~ 130 КБ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установочного пакета Android (.aab)</w:t>
            </w:r>
          </w:p>
        </w:tc>
        <w:tc>
          <w:tcPr/>
          <w:p>
            <w:pPr>
              <w:pStyle w:val="Compact"/>
            </w:pPr>
            <w:r>
              <w:t xml:space="preserve">~ 30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установочного пакета iOS (.ipa)</w:t>
            </w:r>
          </w:p>
        </w:tc>
        <w:tc>
          <w:tcPr/>
          <w:p>
            <w:pPr>
              <w:pStyle w:val="Compact"/>
            </w:pPr>
            <w:r>
              <w:t xml:space="preserve">~ 35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установочного пакета Windows (.msix)</w:t>
            </w:r>
          </w:p>
        </w:tc>
        <w:tc>
          <w:tcPr/>
          <w:p>
            <w:pPr>
              <w:pStyle w:val="Compact"/>
            </w:pPr>
            <w:r>
              <w:t xml:space="preserve">~ 40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Минимальное потребление памяти</w:t>
            </w:r>
          </w:p>
        </w:tc>
        <w:tc>
          <w:tcPr/>
          <w:p>
            <w:pPr>
              <w:pStyle w:val="Compact"/>
            </w:pPr>
            <w:r>
              <w:t xml:space="preserve">80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потребление памяти</w:t>
            </w:r>
          </w:p>
        </w:tc>
        <w:tc>
          <w:tcPr/>
          <w:p>
            <w:pPr>
              <w:pStyle w:val="Compact"/>
            </w:pPr>
            <w:r>
              <w:t xml:space="preserve">200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Максимальное потребление памяти</w:t>
            </w:r>
          </w:p>
        </w:tc>
        <w:tc>
          <w:tcPr/>
          <w:p>
            <w:pPr>
              <w:pStyle w:val="Compact"/>
            </w:pPr>
            <w:r>
              <w:t xml:space="preserve">300 МБ</w:t>
            </w:r>
          </w:p>
        </w:tc>
      </w:tr>
    </w:tbl>
    <w:bookmarkEnd w:id="12"/>
    <w:bookmarkStart w:id="16" w:name="состав-комплекта-поставки"/>
    <w:p>
      <w:pPr>
        <w:pStyle w:val="Heading2"/>
      </w:pPr>
      <w:r>
        <w:t xml:space="preserve">4. Состав комплекта поставки</w:t>
      </w:r>
    </w:p>
    <w:bookmarkStart w:id="13" w:name="программные-компоненты"/>
    <w:p>
      <w:pPr>
        <w:pStyle w:val="Heading3"/>
      </w:pPr>
      <w:r>
        <w:t xml:space="preserve">4.1. Программные компоненты</w:t>
      </w:r>
    </w:p>
    <w:p>
      <w:pPr>
        <w:pStyle w:val="Compact"/>
        <w:numPr>
          <w:ilvl w:val="0"/>
          <w:numId w:val="1001"/>
        </w:numPr>
      </w:pPr>
      <w:r>
        <w:t xml:space="preserve">Исходный код приложения.</w:t>
      </w:r>
    </w:p>
    <w:p>
      <w:pPr>
        <w:pStyle w:val="Compact"/>
        <w:numPr>
          <w:ilvl w:val="0"/>
          <w:numId w:val="1001"/>
        </w:numPr>
      </w:pPr>
      <w:r>
        <w:t xml:space="preserve">Установочные пакеты для целевых платформ.</w:t>
      </w:r>
    </w:p>
    <w:p>
      <w:pPr>
        <w:pStyle w:val="Compact"/>
        <w:numPr>
          <w:ilvl w:val="0"/>
          <w:numId w:val="1001"/>
        </w:numPr>
      </w:pPr>
      <w:r>
        <w:t xml:space="preserve">Конфигурационные файлы.</w:t>
      </w:r>
    </w:p>
    <w:p>
      <w:pPr>
        <w:pStyle w:val="Compact"/>
        <w:numPr>
          <w:ilvl w:val="0"/>
          <w:numId w:val="1001"/>
        </w:numPr>
      </w:pPr>
      <w:r>
        <w:t xml:space="preserve">Сервисный работник для PWA.</w:t>
      </w:r>
    </w:p>
    <w:p>
      <w:pPr>
        <w:pStyle w:val="Compact"/>
        <w:numPr>
          <w:ilvl w:val="0"/>
          <w:numId w:val="1001"/>
        </w:numPr>
      </w:pPr>
      <w:r>
        <w:t xml:space="preserve">Иконки и манифест.</w:t>
      </w:r>
    </w:p>
    <w:bookmarkEnd w:id="13"/>
    <w:bookmarkStart w:id="14" w:name="документация"/>
    <w:p>
      <w:pPr>
        <w:pStyle w:val="Heading3"/>
      </w:pPr>
      <w:r>
        <w:t xml:space="preserve">4.2. Документация</w:t>
      </w:r>
    </w:p>
    <w:p>
      <w:pPr>
        <w:pStyle w:val="FirstParagraph"/>
      </w:pPr>
      <w:r>
        <w:t xml:space="preserve">Перечень и состав документации — в Ведомости эксплуатационных документов (РСФСР.МП.12).</w:t>
      </w:r>
    </w:p>
    <w:bookmarkEnd w:id="14"/>
    <w:bookmarkStart w:id="15" w:name="дополнительные-материалы"/>
    <w:p>
      <w:pPr>
        <w:pStyle w:val="Heading3"/>
      </w:pPr>
      <w:r>
        <w:t xml:space="preserve">4.3. Дополнительные материалы</w:t>
      </w:r>
    </w:p>
    <w:p>
      <w:pPr>
        <w:pStyle w:val="Compact"/>
        <w:numPr>
          <w:ilvl w:val="0"/>
          <w:numId w:val="1002"/>
        </w:numPr>
      </w:pPr>
      <w:r>
        <w:t xml:space="preserve">Промо-материалы для магазинов приложений.</w:t>
      </w:r>
    </w:p>
    <w:p>
      <w:pPr>
        <w:pStyle w:val="Compact"/>
        <w:numPr>
          <w:ilvl w:val="0"/>
          <w:numId w:val="1002"/>
        </w:numPr>
      </w:pPr>
      <w:r>
        <w:t xml:space="preserve">Скриншоты и видеодемонстрации.</w:t>
      </w:r>
    </w:p>
    <w:p>
      <w:pPr>
        <w:pStyle w:val="Compact"/>
        <w:numPr>
          <w:ilvl w:val="0"/>
          <w:numId w:val="1002"/>
        </w:numPr>
      </w:pPr>
      <w:r>
        <w:t xml:space="preserve">Шаблоны политик конфиденциальности и условий использования.</w:t>
      </w:r>
    </w:p>
    <w:p>
      <w:pPr>
        <w:pStyle w:val="Compact"/>
        <w:numPr>
          <w:ilvl w:val="0"/>
          <w:numId w:val="1002"/>
        </w:numPr>
      </w:pPr>
      <w:r>
        <w:t xml:space="preserve">Сертификаты соответствия (после прохождения аттестации).</w:t>
      </w:r>
    </w:p>
    <w:bookmarkEnd w:id="15"/>
    <w:bookmarkEnd w:id="16"/>
    <w:bookmarkStart w:id="17" w:name="сведения-о-среде-эксплуатации"/>
    <w:p>
      <w:pPr>
        <w:pStyle w:val="Heading2"/>
      </w:pPr>
      <w:r>
        <w:t xml:space="preserve">5. Сведения о среде эксплуатации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Минимальная версия</w:t>
            </w:r>
          </w:p>
        </w:tc>
        <w:tc>
          <w:tcPr/>
          <w:p>
            <w:pPr>
              <w:pStyle w:val="Compact"/>
            </w:pPr>
            <w:r>
              <w:t xml:space="preserve">Целевая версия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17.0+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9 (API 28)</w:t>
            </w:r>
          </w:p>
        </w:tc>
        <w:tc>
          <w:tcPr/>
          <w:p>
            <w:pPr>
              <w:pStyle w:val="Compact"/>
            </w:pPr>
            <w:r>
              <w:t xml:space="preserve">14 (API 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10 (1809)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Браузер (PWA)</w:t>
            </w:r>
          </w:p>
        </w:tc>
        <w:tc>
          <w:tcPr/>
          <w:p>
            <w:pPr>
              <w:pStyle w:val="Compact"/>
            </w:pPr>
            <w:r>
              <w:t xml:space="preserve">Chrome 70+, Safari 13+, Edge 80+, Firefox 70+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7"/>
    <w:bookmarkStart w:id="18" w:name="сертификации-и-реестры"/>
    <w:p>
      <w:pPr>
        <w:pStyle w:val="Heading2"/>
      </w:pPr>
      <w:r>
        <w:t xml:space="preserve">6. Сертификации и реестры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Сертификат</w:t>
            </w:r>
          </w:p>
        </w:tc>
        <w:tc>
          <w:tcPr/>
          <w:p>
            <w:pPr>
              <w:pStyle w:val="Compact"/>
            </w:pPr>
            <w:r>
              <w:t xml:space="preserve">Орган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Реестр операторов ИС</w:t>
            </w:r>
          </w:p>
        </w:tc>
        <w:tc>
          <w:tcPr/>
          <w:p>
            <w:pPr>
              <w:pStyle w:val="Compact"/>
            </w:pPr>
            <w:r>
              <w:t xml:space="preserve">Банк России (Положение №779-П)</w:t>
            </w:r>
          </w:p>
        </w:tc>
        <w:tc>
          <w:tcPr/>
          <w:p>
            <w:pPr>
              <w:pStyle w:val="Compact"/>
            </w:pPr>
            <w:r>
              <w:t xml:space="preserve">планируется к получению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Реестр российского ПО</w:t>
            </w:r>
          </w:p>
        </w:tc>
        <w:tc>
          <w:tcPr/>
          <w:p>
            <w:pPr>
              <w:pStyle w:val="Compact"/>
            </w:pPr>
            <w:r>
              <w:t xml:space="preserve">Минцифры (ПП РФ №1236)</w:t>
            </w:r>
          </w:p>
        </w:tc>
        <w:tc>
          <w:tcPr/>
          <w:p>
            <w:pPr>
              <w:pStyle w:val="Compact"/>
            </w:pPr>
            <w:r>
              <w:t xml:space="preserve">планируется к получению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Сертификат ФСТЭК России (К1, КИИ-1)</w:t>
            </w:r>
          </w:p>
        </w:tc>
        <w:tc>
          <w:tcPr/>
          <w:p>
            <w:pPr>
              <w:pStyle w:val="Compact"/>
            </w:pPr>
            <w:r>
              <w:t xml:space="preserve">ФСТЭК России</w:t>
            </w:r>
          </w:p>
        </w:tc>
        <w:tc>
          <w:tcPr/>
          <w:p>
            <w:pPr>
              <w:pStyle w:val="Compact"/>
            </w:pPr>
            <w:r>
              <w:t xml:space="preserve">планируется к получению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Сертификат ФСБ России (СКЗИ)</w:t>
            </w:r>
          </w:p>
        </w:tc>
        <w:tc>
          <w:tcPr/>
          <w:p>
            <w:pPr>
              <w:pStyle w:val="Compact"/>
            </w:pPr>
            <w:r>
              <w:t xml:space="preserve">ФСБ России</w:t>
            </w:r>
          </w:p>
        </w:tc>
        <w:tc>
          <w:tcPr/>
          <w:p>
            <w:pPr>
              <w:pStyle w:val="Compact"/>
            </w:pPr>
            <w:r>
              <w:t xml:space="preserve">планируется к получению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 Роскомнадзора (ПДн)</w:t>
            </w:r>
          </w:p>
        </w:tc>
        <w:tc>
          <w:tcPr/>
          <w:p>
            <w:pPr>
              <w:pStyle w:val="Compact"/>
            </w:pPr>
            <w:r>
              <w:t xml:space="preserve">Роскомнадзор</w:t>
            </w:r>
          </w:p>
        </w:tc>
        <w:tc>
          <w:tcPr/>
          <w:p>
            <w:pPr>
              <w:pStyle w:val="Compact"/>
            </w:pPr>
            <w:r>
              <w:t xml:space="preserve">планируется к получению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Уведомление в каталоге RuStore</w:t>
            </w:r>
          </w:p>
        </w:tc>
        <w:tc>
          <w:tcPr/>
          <w:p>
            <w:pPr>
              <w:pStyle w:val="Compact"/>
            </w:pPr>
            <w:r>
              <w:t xml:space="preserve">RuStore</w:t>
            </w:r>
          </w:p>
        </w:tc>
        <w:tc>
          <w:tcPr/>
          <w:p>
            <w:pPr>
              <w:pStyle w:val="Compact"/>
            </w:pPr>
            <w:r>
              <w:t xml:space="preserve">планируется к публикации</w:t>
            </w:r>
          </w:p>
        </w:tc>
      </w:tr>
    </w:tbl>
    <w:bookmarkEnd w:id="18"/>
    <w:bookmarkStart w:id="19" w:name="сведения-о-правах"/>
    <w:p>
      <w:pPr>
        <w:pStyle w:val="Heading2"/>
      </w:pPr>
      <w:r>
        <w:t xml:space="preserve">7. Сведения о правах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Авторские права</w:t>
      </w:r>
      <w:r>
        <w:t xml:space="preserve"> </w:t>
      </w:r>
      <w:r>
        <w:t xml:space="preserve">на концепцию и архитектуру: Кагиров А.-Х.А. (свидетельство №4011265 от 19.12.2024, ireg.pro). Срок охраны — 70 лет.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Лицензии на компоненты</w:t>
      </w:r>
      <w:r>
        <w:t xml:space="preserve">: используются только разрешённые лицензии (MIT, Apache 2.0, SIL Open Font License). Полный реестр компонентов сторонних разработчиков ведётся отдельно (BOM).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соответствует требованиям ГОСТ 19.202-78 «Спецификация».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2026-05-23T23:01:27Z</dcterms:created>
  <dcterms:modified xsi:type="dcterms:W3CDTF">2026-05-23T23:01:27Z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