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02e513d15d5b6331690fa29139ef229d8b405d"/>
    <w:p>
      <w:pPr>
        <w:pStyle w:val="Heading1"/>
      </w:pPr>
      <w:r>
        <w:t xml:space="preserve">Описание приложения для публикации в RuStore</w:t>
      </w:r>
    </w:p>
    <w:bookmarkStart w:id="9" w:name="X757a7be28bea3c18417d281e14e42d7a12a9241"/>
    <w:p>
      <w:pPr>
        <w:pStyle w:val="Heading2"/>
      </w:pPr>
      <w:r>
        <w:t xml:space="preserve">ЦП РСФСР — Российский Сервис Финансирования Социального Развития</w:t>
      </w:r>
    </w:p>
    <w:p>
      <w:r>
        <w:pict>
          <v:rect style="width:0;height:1.5pt" o:hralign="center" o:hrstd="t" o:hr="t"/>
        </w:pict>
      </w:r>
    </w:p>
    <w:bookmarkEnd w:id="9"/>
    <w:bookmarkStart w:id="10" w:name="базовая-информация"/>
    <w:p>
      <w:pPr>
        <w:pStyle w:val="Heading2"/>
      </w:pPr>
      <w:r>
        <w:t xml:space="preserve">Базовая информация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ЦП РСФСР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Подзаголовок</w:t>
            </w:r>
          </w:p>
        </w:tc>
        <w:tc>
          <w:tcPr/>
          <w:p>
            <w:pPr>
              <w:pStyle w:val="Compact"/>
            </w:pPr>
            <w:r>
              <w:t xml:space="preserve">Российский Сервис Финансирования Социального Развития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Финансы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Подкатегория</w:t>
            </w:r>
          </w:p>
        </w:tc>
        <w:tc>
          <w:tcPr/>
          <w:p>
            <w:pPr>
              <w:pStyle w:val="Compact"/>
            </w:pPr>
            <w:r>
              <w:t xml:space="preserve">Инвестиции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Возрастная категория</w:t>
            </w:r>
          </w:p>
        </w:tc>
        <w:tc>
          <w:tcPr/>
          <w:p>
            <w:pPr>
              <w:pStyle w:val="Compact"/>
            </w:pPr>
            <w:r>
              <w:t xml:space="preserve">18+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</w:t>
            </w:r>
          </w:p>
        </w:tc>
        <w:tc>
          <w:tcPr/>
          <w:p>
            <w:pPr>
              <w:pStyle w:val="Compact"/>
            </w:pPr>
            <w:r>
              <w:t xml:space="preserve">Бесплатно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Платная подписка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Реклама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Внутренние покупки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Язык интерфейса</w:t>
            </w:r>
          </w:p>
        </w:tc>
        <w:tc>
          <w:tcPr/>
          <w:p>
            <w:pPr>
              <w:pStyle w:val="Compact"/>
            </w:pPr>
            <w:r>
              <w:t xml:space="preserve">Русский, английский, французский, арабский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</w:pPr>
            <w:r>
              <w:t xml:space="preserve">до 30 МБ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Минимальная версия Android</w:t>
            </w:r>
          </w:p>
        </w:tc>
        <w:tc>
          <w:tcPr/>
          <w:p>
            <w:pPr>
              <w:pStyle w:val="Compact"/>
            </w:pPr>
            <w:r>
              <w:t xml:space="preserve">9.0 (API 28)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da421cd487ba275da43d5417eb37a2be6065c19"/>
    <w:p>
      <w:pPr>
        <w:pStyle w:val="Heading2"/>
      </w:pPr>
      <w:r>
        <w:t xml:space="preserve">Краткое описание (для каталога, до 80 символов)</w:t>
      </w:r>
    </w:p>
    <w:p>
      <w:pPr>
        <w:pStyle w:val="BlockText"/>
      </w:pPr>
      <w:r>
        <w:t xml:space="preserve">Платформа выпуска ЦФА под залог имущества с целевой эмиссией Банка России</w:t>
      </w:r>
    </w:p>
    <w:bookmarkEnd w:id="11"/>
    <w:bookmarkStart w:id="19" w:name="полное-описание-до-4000-символов"/>
    <w:p>
      <w:pPr>
        <w:pStyle w:val="Heading2"/>
      </w:pPr>
      <w:r>
        <w:t xml:space="preserve">Полное описание (до 4000 символов)</w:t>
      </w:r>
    </w:p>
    <w:p>
      <w:pPr>
        <w:pStyle w:val="FirstParagraph"/>
      </w:pPr>
      <w:r>
        <w:rPr>
          <w:b/>
          <w:bCs/>
        </w:rPr>
        <w:t xml:space="preserve">ЦП РСФСР</w:t>
      </w:r>
      <w:r>
        <w:t xml:space="preserve"> </w:t>
      </w:r>
      <w:r>
        <w:t xml:space="preserve">— официальное мобильное приложение Цифровой Платформы «Российский Сервис Финансирования Социального Развития». Платформа предназначена для собственников имущества, которые хотят получить дополнительный доход от своих активов, не отчуждая их.</w:t>
      </w:r>
    </w:p>
    <w:bookmarkStart w:id="12" w:name="как-это-работает"/>
    <w:p>
      <w:pPr>
        <w:pStyle w:val="Heading3"/>
      </w:pPr>
      <w:r>
        <w:t xml:space="preserve">Как это работает</w:t>
      </w:r>
    </w:p>
    <w:p>
      <w:pPr>
        <w:pStyle w:val="FirstParagraph"/>
      </w:pPr>
      <w:r>
        <w:t xml:space="preserve">Внесите принадлежащий вам объект (квартиру, дом, земельный участок, транспорт, интеллектуальную собственность, ценные бумаги) в качестве залога. Имущество</w:t>
      </w:r>
      <w:r>
        <w:t xml:space="preserve"> </w:t>
      </w:r>
      <w:r>
        <w:rPr>
          <w:b/>
          <w:bCs/>
        </w:rPr>
        <w:t xml:space="preserve">остаётся в вашей собственности</w:t>
      </w:r>
      <w:r>
        <w:t xml:space="preserve"> </w:t>
      </w:r>
      <w:r>
        <w:t xml:space="preserve">— на него лишь накладывается временное обременение в пользу платформы.</w:t>
      </w:r>
    </w:p>
    <w:p>
      <w:pPr>
        <w:pStyle w:val="BodyText"/>
      </w:pPr>
      <w:r>
        <w:t xml:space="preserve">Платформа выпускает на основании вашего актива цифровой финансовый актив (ЦФА). Под пул выпущенных ЦФА Банк России производит целевую эмиссию средств, которые через Федеральное казначейство направляются на финансирование национальных и инфраструктурных проектов Российской Федерации.</w:t>
      </w:r>
    </w:p>
    <w:p>
      <w:pPr>
        <w:pStyle w:val="BodyText"/>
      </w:pPr>
      <w:r>
        <w:t xml:space="preserve">Вы получаете регулярное вознаграждение за всё время использования вашего ЦФА в качестве залога. По истечении срока обременение снимается, имущество возвращается в полное распоряжение.</w:t>
      </w:r>
    </w:p>
    <w:bookmarkEnd w:id="12"/>
    <w:bookmarkStart w:id="13" w:name="что-внутри-приложения"/>
    <w:p>
      <w:pPr>
        <w:pStyle w:val="Heading3"/>
      </w:pPr>
      <w:r>
        <w:t xml:space="preserve">Что внутри приложения</w:t>
      </w:r>
    </w:p>
    <w:p>
      <w:pPr>
        <w:pStyle w:val="FirstParagraph"/>
      </w:pPr>
      <w:r>
        <w:t xml:space="preserve">— Авторизация через Госуслуги (ЕСИА).</w:t>
      </w:r>
      <w:r>
        <w:t xml:space="preserve"> </w:t>
      </w:r>
      <w:r>
        <w:t xml:space="preserve">— Подтверждение биометрией (ЕБС).</w:t>
      </w:r>
      <w:r>
        <w:t xml:space="preserve"> </w:t>
      </w:r>
      <w:r>
        <w:t xml:space="preserve">— Подача актива в несколько шагов с автоматической загрузкой данных из ЕГРН.</w:t>
      </w:r>
      <w:r>
        <w:t xml:space="preserve"> </w:t>
      </w:r>
      <w:r>
        <w:t xml:space="preserve">— Заявка на оценку аккредитованной оценочной компанией.</w:t>
      </w:r>
      <w:r>
        <w:t xml:space="preserve"> </w:t>
      </w:r>
      <w:r>
        <w:t xml:space="preserve">— Настройка и подписание смарт-контракта усиленной квалифицированной электронной подписью.</w:t>
      </w:r>
      <w:r>
        <w:t xml:space="preserve"> </w:t>
      </w:r>
      <w:r>
        <w:t xml:space="preserve">— Управление портфелем ЦФА.</w:t>
      </w:r>
      <w:r>
        <w:t xml:space="preserve"> </w:t>
      </w:r>
      <w:r>
        <w:t xml:space="preserve">— Регулярные выплаты на банковский счёт.</w:t>
      </w:r>
      <w:r>
        <w:t xml:space="preserve"> </w:t>
      </w:r>
      <w:r>
        <w:t xml:space="preserve">— Прозрачная история всех операций.</w:t>
      </w:r>
      <w:r>
        <w:t xml:space="preserve"> </w:t>
      </w:r>
      <w:r>
        <w:t xml:space="preserve">— Налоговые справки в один тап.</w:t>
      </w:r>
    </w:p>
    <w:bookmarkEnd w:id="13"/>
    <w:bookmarkStart w:id="14" w:name="безопасность"/>
    <w:p>
      <w:pPr>
        <w:pStyle w:val="Heading3"/>
      </w:pPr>
      <w:r>
        <w:t xml:space="preserve">Безопасность</w:t>
      </w:r>
    </w:p>
    <w:p>
      <w:pPr>
        <w:pStyle w:val="FirstParagraph"/>
      </w:pPr>
      <w:r>
        <w:t xml:space="preserve">Приложение разработано в соответствии с самыми строгими требованиями российских регуляторов:</w:t>
      </w:r>
      <w:r>
        <w:t xml:space="preserve"> </w:t>
      </w:r>
      <w:r>
        <w:t xml:space="preserve">— Категория объекта критической информационной инфраструктуры — 1-я (наивысшая).</w:t>
      </w:r>
      <w:r>
        <w:t xml:space="preserve"> </w:t>
      </w:r>
      <w:r>
        <w:t xml:space="preserve">— Уровень защиты по ГОСТ Р 57580.1 — 4-й (максимальный).</w:t>
      </w:r>
      <w:r>
        <w:t xml:space="preserve"> </w:t>
      </w:r>
      <w:r>
        <w:t xml:space="preserve">— Уровень защищённости персональных данных — УЗ-1.</w:t>
      </w:r>
      <w:r>
        <w:t xml:space="preserve"> </w:t>
      </w:r>
      <w:r>
        <w:t xml:space="preserve">— Криптография: ГОСТ Р 34.10-2012, ГОСТ Р 34.11-2012, ГОСТ Р 34.12-2015.</w:t>
      </w:r>
      <w:r>
        <w:t xml:space="preserve"> </w:t>
      </w:r>
      <w:r>
        <w:t xml:space="preserve">— Полное соответствие 152-ФЗ (защита персональных данных), 187-ФЗ (КИИ), 115-ФЗ (ПОД/ФТ).</w:t>
      </w:r>
    </w:p>
    <w:bookmarkEnd w:id="14"/>
    <w:bookmarkStart w:id="15" w:name="правовая-основа"/>
    <w:p>
      <w:pPr>
        <w:pStyle w:val="Heading3"/>
      </w:pPr>
      <w:r>
        <w:t xml:space="preserve">Правовая основа</w:t>
      </w:r>
    </w:p>
    <w:p>
      <w:pPr>
        <w:pStyle w:val="FirstParagraph"/>
      </w:pPr>
      <w:r>
        <w:t xml:space="preserve">Платформа функционирует строго в правовом поле Российской Федерации в соответствии с:</w:t>
      </w:r>
      <w:r>
        <w:t xml:space="preserve"> </w:t>
      </w:r>
      <w:r>
        <w:t xml:space="preserve">— Федеральным законом от 31.07.2020 №259-ФЗ «О цифровых финансовых активах».</w:t>
      </w:r>
      <w:r>
        <w:t xml:space="preserve"> </w:t>
      </w:r>
      <w:r>
        <w:t xml:space="preserve">— Федеральным законом от 10.07.2002 №86-ФЗ «О Центральном банке Российской Федерации».</w:t>
      </w:r>
      <w:r>
        <w:t xml:space="preserve"> </w:t>
      </w:r>
      <w:r>
        <w:t xml:space="preserve">— Федеральным законом от 24.07.2023 №340-ФЗ (цифровой рубль).</w:t>
      </w:r>
      <w:r>
        <w:t xml:space="preserve"> </w:t>
      </w:r>
      <w:r>
        <w:t xml:space="preserve">— Положениями Банка России №779-П, №683-П, №716-П.</w:t>
      </w:r>
    </w:p>
    <w:bookmarkEnd w:id="15"/>
    <w:bookmarkStart w:id="16" w:name="поддержка-нескольких-языков"/>
    <w:p>
      <w:pPr>
        <w:pStyle w:val="Heading3"/>
      </w:pPr>
      <w:r>
        <w:t xml:space="preserve">Поддержка нескольких языков</w:t>
      </w:r>
    </w:p>
    <w:p>
      <w:pPr>
        <w:pStyle w:val="FirstParagraph"/>
      </w:pPr>
      <w:r>
        <w:t xml:space="preserve">Полная локализация на русский, английский, французский и арабский (с поддержкой направления текста справа налево).</w:t>
      </w:r>
    </w:p>
    <w:bookmarkEnd w:id="16"/>
    <w:bookmarkStart w:id="17" w:name="доступность"/>
    <w:p>
      <w:pPr>
        <w:pStyle w:val="Heading3"/>
      </w:pPr>
      <w:r>
        <w:t xml:space="preserve">Доступность</w:t>
      </w:r>
    </w:p>
    <w:p>
      <w:pPr>
        <w:pStyle w:val="FirstParagraph"/>
      </w:pPr>
      <w:r>
        <w:t xml:space="preserve">Полное соответствие WCAG 2.2 уровня AA. Поддержка экранных читалок (VoiceOver, TalkBack), масштабирование шрифта, контрастная тема для слабовидящих.</w:t>
      </w:r>
    </w:p>
    <w:bookmarkEnd w:id="17"/>
    <w:bookmarkStart w:id="18" w:name="авторские-права"/>
    <w:p>
      <w:pPr>
        <w:pStyle w:val="Heading3"/>
      </w:pPr>
      <w:r>
        <w:t xml:space="preserve">Авторские права</w:t>
      </w:r>
    </w:p>
    <w:p>
      <w:pPr>
        <w:pStyle w:val="FirstParagraph"/>
      </w:pPr>
      <w:r>
        <w:t xml:space="preserve">Концепция и архитектура платформы защищены свидетельством о депонировании №4011265 от 19.12.2024 (ireg.pro). Автор и правообладатель — Кагиров Абдул-Хаким Ахмадович.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ключевые-слова-до-100-символов"/>
    <w:p>
      <w:pPr>
        <w:pStyle w:val="Heading2"/>
      </w:pPr>
      <w:r>
        <w:t xml:space="preserve">Ключевые слова (до 100 символов)</w:t>
      </w:r>
    </w:p>
    <w:p>
      <w:pPr>
        <w:pStyle w:val="FirstParagraph"/>
      </w:pPr>
      <w:r>
        <w:t xml:space="preserve">ЦФА, залог, недвижимость, инвестиции, цифровой рубль, Банк России, нацпроекты, эмиссия</w:t>
      </w:r>
    </w:p>
    <w:p>
      <w:r>
        <w:pict>
          <v:rect style="width:0;height:1.5pt" o:hralign="center" o:hrstd="t" o:hr="t"/>
        </w:pict>
      </w:r>
    </w:p>
    <w:bookmarkEnd w:id="20"/>
    <w:bookmarkStart w:id="21" w:name="что-нового-для-первого-релиза"/>
    <w:p>
      <w:pPr>
        <w:pStyle w:val="Heading2"/>
      </w:pPr>
      <w:r>
        <w:t xml:space="preserve">Что нового (для первого релиза)</w:t>
      </w:r>
    </w:p>
    <w:p>
      <w:pPr>
        <w:pStyle w:val="FirstParagraph"/>
      </w:pPr>
      <w:r>
        <w:t xml:space="preserve">— Первый релиз приложения.</w:t>
      </w:r>
      <w:r>
        <w:t xml:space="preserve"> </w:t>
      </w:r>
      <w:r>
        <w:t xml:space="preserve">— Полный жизненный цикл выпуска ЦФА: от подачи актива до получения дохода.</w:t>
      </w:r>
      <w:r>
        <w:t xml:space="preserve"> </w:t>
      </w:r>
      <w:r>
        <w:t xml:space="preserve">— Поддержка 4 типов залогового имущества.</w:t>
      </w:r>
      <w:r>
        <w:t xml:space="preserve"> </w:t>
      </w:r>
      <w:r>
        <w:t xml:space="preserve">— 4 темы оформления, 4 языка.</w:t>
      </w:r>
      <w:r>
        <w:t xml:space="preserve"> </w:t>
      </w:r>
      <w:r>
        <w:t xml:space="preserve">— Биометрическая авторизация.</w:t>
      </w:r>
      <w:r>
        <w:t xml:space="preserve"> </w:t>
      </w:r>
      <w:r>
        <w:t xml:space="preserve">— Оффлайн-режим для просмотра кешированных данных.</w:t>
      </w:r>
    </w:p>
    <w:p>
      <w:r>
        <w:pict>
          <v:rect style="width:0;height:1.5pt" o:hralign="center" o:hrstd="t" o:hr="t"/>
        </w:pict>
      </w:r>
    </w:p>
    <w:bookmarkEnd w:id="21"/>
    <w:bookmarkStart w:id="22" w:name="контактная-информация-разработчика"/>
    <w:p>
      <w:pPr>
        <w:pStyle w:val="Heading2"/>
      </w:pPr>
      <w:r>
        <w:t xml:space="preserve">Контактная информация разработчика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Имя разработчика</w:t>
            </w:r>
          </w:p>
        </w:tc>
        <w:tc>
          <w:tcPr/>
          <w:p>
            <w:pPr>
              <w:pStyle w:val="Compact"/>
            </w:pPr>
            <w:r>
              <w:t xml:space="preserve">Кагиров Абдул-Хаким Ахмадович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Сайт</w:t>
            </w:r>
          </w:p>
        </w:tc>
        <w:tc>
          <w:tcPr/>
          <w:p>
            <w:pPr>
              <w:pStyle w:val="Compact"/>
            </w:pPr>
            <w:r>
              <w:t xml:space="preserve">https://rsfsr.gov.ru (или временный домен проекта)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поддержки</w:t>
            </w:r>
          </w:p>
        </w:tc>
        <w:tc>
          <w:tcPr/>
          <w:p>
            <w:pPr>
              <w:pStyle w:val="Compact"/>
            </w:pPr>
            <w:r>
              <w:t xml:space="preserve">support@rsfsr.gov.ru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юридический</w:t>
            </w:r>
          </w:p>
        </w:tc>
        <w:tc>
          <w:tcPr/>
          <w:p>
            <w:pPr>
              <w:pStyle w:val="Compact"/>
            </w:pPr>
            <w:r>
              <w:t xml:space="preserve">legal@rsfsr.gov.ru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Политика конфиденциальности</w:t>
            </w:r>
          </w:p>
        </w:tc>
        <w:tc>
          <w:tcPr/>
          <w:p>
            <w:pPr>
              <w:pStyle w:val="Compact"/>
            </w:pPr>
            <w:r>
              <w:t xml:space="preserve">https://rsfsr.gov.ru/privacy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Условия использования</w:t>
            </w:r>
          </w:p>
        </w:tc>
        <w:tc>
          <w:tcPr/>
          <w:p>
            <w:pPr>
              <w:pStyle w:val="Compact"/>
            </w:pPr>
            <w:r>
              <w:t xml:space="preserve">https://rsfsr.gov.ru/terms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ограничения-и-оговорки"/>
    <w:p>
      <w:pPr>
        <w:pStyle w:val="Heading2"/>
      </w:pPr>
      <w:r>
        <w:t xml:space="preserve">Ограничения и оговорки</w:t>
      </w:r>
    </w:p>
    <w:p>
      <w:pPr>
        <w:pStyle w:val="FirstParagraph"/>
      </w:pPr>
      <w:r>
        <w:t xml:space="preserve">— Приложение требует подтверждённой учётной записи Госуслуг (ЕСИА).</w:t>
      </w:r>
      <w:r>
        <w:t xml:space="preserve"> </w:t>
      </w:r>
      <w:r>
        <w:t xml:space="preserve">— Полный функционал доступен только пользователям, прошедшим KYC.</w:t>
      </w:r>
      <w:r>
        <w:t xml:space="preserve"> </w:t>
      </w:r>
      <w:r>
        <w:t xml:space="preserve">— На момент первого релиза доступен пилотный режим в нескольких регионах. Расширение географии — по дорожной карте.</w:t>
      </w:r>
      <w:r>
        <w:t xml:space="preserve"> </w:t>
      </w:r>
      <w:r>
        <w:t xml:space="preserve">— Все операции с ЦФА производятся только в безналичной форме.</w:t>
      </w:r>
      <w:r>
        <w:t xml:space="preserve"> </w:t>
      </w:r>
      <w:r>
        <w:t xml:space="preserve">— ЦФА — не криптовалюта. Платформа не имеет отношения к необеспеченным цифровым валютам.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2026-05-23T23:01:27Z</dcterms:created>
  <dcterms:modified xsi:type="dcterms:W3CDTF">2026-05-23T23:01:27Z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