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политика-конфиденциальности"/>
    <w:p>
      <w:pPr>
        <w:pStyle w:val="Heading1"/>
      </w:pPr>
      <w:r>
        <w:t xml:space="preserve">Политика конфиденциальности</w:t>
      </w:r>
    </w:p>
    <w:bookmarkStart w:id="9" w:name="мобильное-приложение-цп-рсфср"/>
    <w:p>
      <w:pPr>
        <w:pStyle w:val="Heading2"/>
      </w:pPr>
      <w:r>
        <w:t xml:space="preserve">Мобильное приложение «ЦП РСФСР»</w:t>
      </w:r>
    </w:p>
    <w:p>
      <w:pPr>
        <w:pStyle w:val="FirstParagraph"/>
      </w:pPr>
      <w:r>
        <w:rPr>
          <w:b/>
          <w:bCs/>
        </w:rPr>
        <w:t xml:space="preserve">Дата вступления в силу:</w:t>
      </w:r>
      <w:r>
        <w:t xml:space="preserve"> </w:t>
      </w:r>
      <w:r>
        <w:t xml:space="preserve">[указывается при публикации]</w:t>
      </w:r>
      <w:r>
        <w:t xml:space="preserve"> </w:t>
      </w:r>
      <w:r>
        <w:rPr>
          <w:b/>
          <w:bCs/>
        </w:rPr>
        <w:t xml:space="preserve">Контролёр данных:</w:t>
      </w:r>
      <w:r>
        <w:t xml:space="preserve"> </w:t>
      </w:r>
      <w:r>
        <w:t xml:space="preserve">Кагиров Абдул-Хаким Ахмадович, как автор и правообладатель проекта; оператор платформы — юридическое лицо, регистрируемое для целей эксплуатации (далее — «Оператор»).</w:t>
      </w:r>
    </w:p>
    <w:p>
      <w:r>
        <w:pict>
          <v:rect style="width:0;height:1.5pt" o:hralign="center" o:hrstd="t" o:hr="t"/>
        </w:pict>
      </w:r>
    </w:p>
    <w:bookmarkEnd w:id="9"/>
    <w:bookmarkStart w:id="10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Настоящая Политика конфиденциальности (далее — «Политика») определяет порядок обработки персональных данных пользователей мобильного приложения «ЦП РСФСР» (далее — «Приложение») в соответствии с:</w:t>
      </w:r>
    </w:p>
    <w:p>
      <w:pPr>
        <w:pStyle w:val="Compact"/>
        <w:numPr>
          <w:ilvl w:val="0"/>
          <w:numId w:val="1001"/>
        </w:numPr>
      </w:pPr>
      <w:r>
        <w:t xml:space="preserve">Федеральным законом от 27.07.2006 №152-ФЗ «О персональных данных».</w:t>
      </w:r>
    </w:p>
    <w:p>
      <w:pPr>
        <w:pStyle w:val="Compact"/>
        <w:numPr>
          <w:ilvl w:val="0"/>
          <w:numId w:val="1001"/>
        </w:numPr>
      </w:pPr>
      <w:r>
        <w:t xml:space="preserve">Постановлением Правительства Российской Федерации от 01.11.2012 №1119 (уровни защищённости).</w:t>
      </w:r>
    </w:p>
    <w:p>
      <w:pPr>
        <w:pStyle w:val="Compact"/>
        <w:numPr>
          <w:ilvl w:val="0"/>
          <w:numId w:val="1001"/>
        </w:numPr>
      </w:pPr>
      <w:r>
        <w:t xml:space="preserve">Приказом ФСТЭК России №21.</w:t>
      </w:r>
    </w:p>
    <w:p>
      <w:pPr>
        <w:pStyle w:val="Compact"/>
        <w:numPr>
          <w:ilvl w:val="0"/>
          <w:numId w:val="1001"/>
        </w:numPr>
      </w:pPr>
      <w:r>
        <w:t xml:space="preserve">Регламентом Европейского союза 2016/679 GDPR (для пользователей из ЕС, при наличии).</w:t>
      </w:r>
    </w:p>
    <w:p>
      <w:pPr>
        <w:pStyle w:val="FirstParagraph"/>
      </w:pPr>
      <w:r>
        <w:t xml:space="preserve">Использование Приложения означает безусловное согласие с условиями настоящей Политики. Если вы не согласны — прекратите использование Приложения.</w:t>
      </w:r>
    </w:p>
    <w:bookmarkEnd w:id="10"/>
    <w:bookmarkStart w:id="16" w:name="какие-данные-мы-обрабатываем"/>
    <w:p>
      <w:pPr>
        <w:pStyle w:val="Heading2"/>
      </w:pPr>
      <w:r>
        <w:t xml:space="preserve">2. Какие данные мы обрабатываем</w:t>
      </w:r>
    </w:p>
    <w:bookmarkStart w:id="11" w:name="идентификационные-данные"/>
    <w:p>
      <w:pPr>
        <w:pStyle w:val="Heading3"/>
      </w:pPr>
      <w:r>
        <w:t xml:space="preserve">2.1. Идентификационные данные</w:t>
      </w:r>
    </w:p>
    <w:p>
      <w:pPr>
        <w:pStyle w:val="Compact"/>
        <w:numPr>
          <w:ilvl w:val="0"/>
          <w:numId w:val="1002"/>
        </w:numPr>
      </w:pPr>
      <w:r>
        <w:t xml:space="preserve">Фамилия, имя, отчество.</w:t>
      </w:r>
    </w:p>
    <w:p>
      <w:pPr>
        <w:pStyle w:val="Compact"/>
        <w:numPr>
          <w:ilvl w:val="0"/>
          <w:numId w:val="1002"/>
        </w:numPr>
      </w:pPr>
      <w:r>
        <w:t xml:space="preserve">Дата рождения.</w:t>
      </w:r>
    </w:p>
    <w:p>
      <w:pPr>
        <w:pStyle w:val="Compact"/>
        <w:numPr>
          <w:ilvl w:val="0"/>
          <w:numId w:val="1002"/>
        </w:numPr>
      </w:pPr>
      <w:r>
        <w:t xml:space="preserve">Серия и номер документа, удостоверяющего личность.</w:t>
      </w:r>
    </w:p>
    <w:p>
      <w:pPr>
        <w:pStyle w:val="Compact"/>
        <w:numPr>
          <w:ilvl w:val="0"/>
          <w:numId w:val="1002"/>
        </w:numPr>
      </w:pPr>
      <w:r>
        <w:t xml:space="preserve">ИНН.</w:t>
      </w:r>
    </w:p>
    <w:p>
      <w:pPr>
        <w:pStyle w:val="Compact"/>
        <w:numPr>
          <w:ilvl w:val="0"/>
          <w:numId w:val="1002"/>
        </w:numPr>
      </w:pPr>
      <w:r>
        <w:t xml:space="preserve">СНИЛС.</w:t>
      </w:r>
    </w:p>
    <w:p>
      <w:pPr>
        <w:pStyle w:val="Compact"/>
        <w:numPr>
          <w:ilvl w:val="0"/>
          <w:numId w:val="1002"/>
        </w:numPr>
      </w:pPr>
      <w:r>
        <w:t xml:space="preserve">Идентификатор учётной записи Госуслуг (ЕСИА).</w:t>
      </w:r>
    </w:p>
    <w:bookmarkEnd w:id="11"/>
    <w:bookmarkStart w:id="12" w:name="контактные-данные"/>
    <w:p>
      <w:pPr>
        <w:pStyle w:val="Heading3"/>
      </w:pPr>
      <w:r>
        <w:t xml:space="preserve">2.2. Контактные данные</w:t>
      </w:r>
    </w:p>
    <w:p>
      <w:pPr>
        <w:pStyle w:val="Compact"/>
        <w:numPr>
          <w:ilvl w:val="0"/>
          <w:numId w:val="1003"/>
        </w:numPr>
      </w:pPr>
      <w:r>
        <w:t xml:space="preserve">Номер мобильного телефона.</w:t>
      </w:r>
    </w:p>
    <w:p>
      <w:pPr>
        <w:pStyle w:val="Compact"/>
        <w:numPr>
          <w:ilvl w:val="0"/>
          <w:numId w:val="1003"/>
        </w:numPr>
      </w:pPr>
      <w:r>
        <w:t xml:space="preserve">Адрес электронной почты.</w:t>
      </w:r>
    </w:p>
    <w:p>
      <w:pPr>
        <w:pStyle w:val="Compact"/>
        <w:numPr>
          <w:ilvl w:val="0"/>
          <w:numId w:val="1003"/>
        </w:numPr>
      </w:pPr>
      <w:r>
        <w:t xml:space="preserve">Регион проживания.</w:t>
      </w:r>
    </w:p>
    <w:bookmarkEnd w:id="12"/>
    <w:bookmarkStart w:id="13" w:name="биометрические-данные"/>
    <w:p>
      <w:pPr>
        <w:pStyle w:val="Heading3"/>
      </w:pPr>
      <w:r>
        <w:t xml:space="preserve">2.3. Биометрические данные</w:t>
      </w:r>
    </w:p>
    <w:p>
      <w:pPr>
        <w:pStyle w:val="Compact"/>
        <w:numPr>
          <w:ilvl w:val="0"/>
          <w:numId w:val="1004"/>
        </w:numPr>
      </w:pPr>
      <w:r>
        <w:t xml:space="preserve">Биометрические идентификаторы из Единой биометрической системы (только для верификации; биометрические векторы Приложением не хранятся).</w:t>
      </w:r>
    </w:p>
    <w:bookmarkEnd w:id="13"/>
    <w:bookmarkStart w:id="14" w:name="данные-об-активах"/>
    <w:p>
      <w:pPr>
        <w:pStyle w:val="Heading3"/>
      </w:pPr>
      <w:r>
        <w:t xml:space="preserve">2.4. Данные об активах</w:t>
      </w:r>
    </w:p>
    <w:p>
      <w:pPr>
        <w:pStyle w:val="Compact"/>
        <w:numPr>
          <w:ilvl w:val="0"/>
          <w:numId w:val="1005"/>
        </w:numPr>
      </w:pPr>
      <w:r>
        <w:t xml:space="preserve">Сведения об объектах залога (кадастровый номер, адрес, площадь, стоимость).</w:t>
      </w:r>
    </w:p>
    <w:p>
      <w:pPr>
        <w:pStyle w:val="Compact"/>
        <w:numPr>
          <w:ilvl w:val="0"/>
          <w:numId w:val="1005"/>
        </w:numPr>
      </w:pPr>
      <w:r>
        <w:t xml:space="preserve">Документы о праве собственности.</w:t>
      </w:r>
    </w:p>
    <w:p>
      <w:pPr>
        <w:pStyle w:val="Compact"/>
        <w:numPr>
          <w:ilvl w:val="0"/>
          <w:numId w:val="1005"/>
        </w:numPr>
      </w:pPr>
      <w:r>
        <w:t xml:space="preserve">Результаты оценок.</w:t>
      </w:r>
    </w:p>
    <w:p>
      <w:pPr>
        <w:pStyle w:val="Compact"/>
        <w:numPr>
          <w:ilvl w:val="0"/>
          <w:numId w:val="1005"/>
        </w:numPr>
      </w:pPr>
      <w:r>
        <w:t xml:space="preserve">Параметры выпущенных ЦФА.</w:t>
      </w:r>
    </w:p>
    <w:p>
      <w:pPr>
        <w:pStyle w:val="Compact"/>
        <w:numPr>
          <w:ilvl w:val="0"/>
          <w:numId w:val="1005"/>
        </w:numPr>
      </w:pPr>
      <w:r>
        <w:t xml:space="preserve">История выплат.</w:t>
      </w:r>
    </w:p>
    <w:bookmarkEnd w:id="14"/>
    <w:bookmarkStart w:id="15" w:name="технические-данные"/>
    <w:p>
      <w:pPr>
        <w:pStyle w:val="Heading3"/>
      </w:pPr>
      <w:r>
        <w:t xml:space="preserve">2.5. Технические данные</w:t>
      </w:r>
    </w:p>
    <w:p>
      <w:pPr>
        <w:pStyle w:val="Compact"/>
        <w:numPr>
          <w:ilvl w:val="0"/>
          <w:numId w:val="1006"/>
        </w:numPr>
      </w:pPr>
      <w:r>
        <w:t xml:space="preserve">Уникальный идентификатор устройства.</w:t>
      </w:r>
    </w:p>
    <w:p>
      <w:pPr>
        <w:pStyle w:val="Compact"/>
        <w:numPr>
          <w:ilvl w:val="0"/>
          <w:numId w:val="1006"/>
        </w:numPr>
      </w:pPr>
      <w:r>
        <w:t xml:space="preserve">IP-адрес.</w:t>
      </w:r>
    </w:p>
    <w:p>
      <w:pPr>
        <w:pStyle w:val="Compact"/>
        <w:numPr>
          <w:ilvl w:val="0"/>
          <w:numId w:val="1006"/>
        </w:numPr>
      </w:pPr>
      <w:r>
        <w:t xml:space="preserve">Операционная система и её версия.</w:t>
      </w:r>
    </w:p>
    <w:p>
      <w:pPr>
        <w:pStyle w:val="Compact"/>
        <w:numPr>
          <w:ilvl w:val="0"/>
          <w:numId w:val="1006"/>
        </w:numPr>
      </w:pPr>
      <w:r>
        <w:t xml:space="preserve">Модель устройства.</w:t>
      </w:r>
    </w:p>
    <w:p>
      <w:pPr>
        <w:pStyle w:val="Compact"/>
        <w:numPr>
          <w:ilvl w:val="0"/>
          <w:numId w:val="1006"/>
        </w:numPr>
      </w:pPr>
      <w:r>
        <w:t xml:space="preserve">Время и место (геолокация — только при явном согласии) использования.</w:t>
      </w:r>
    </w:p>
    <w:p>
      <w:pPr>
        <w:pStyle w:val="Compact"/>
        <w:numPr>
          <w:ilvl w:val="0"/>
          <w:numId w:val="1006"/>
        </w:numPr>
      </w:pPr>
      <w:r>
        <w:t xml:space="preserve">Логи действий в Приложении.</w:t>
      </w:r>
    </w:p>
    <w:bookmarkEnd w:id="15"/>
    <w:bookmarkEnd w:id="16"/>
    <w:bookmarkStart w:id="17" w:name="цели-обработки"/>
    <w:p>
      <w:pPr>
        <w:pStyle w:val="Heading2"/>
      </w:pPr>
      <w:r>
        <w:t xml:space="preserve">3. Цели обработки</w:t>
      </w:r>
    </w:p>
    <w:p>
      <w:pPr>
        <w:pStyle w:val="Compact"/>
        <w:numPr>
          <w:ilvl w:val="0"/>
          <w:numId w:val="1007"/>
        </w:numPr>
      </w:pPr>
      <w:r>
        <w:t xml:space="preserve">Идентификация и аутентификация пользователя.</w:t>
      </w:r>
    </w:p>
    <w:p>
      <w:pPr>
        <w:pStyle w:val="Compact"/>
        <w:numPr>
          <w:ilvl w:val="0"/>
          <w:numId w:val="1007"/>
        </w:numPr>
      </w:pPr>
      <w:r>
        <w:t xml:space="preserve">Прохождение процедуры KYC в соответствии с 115-ФЗ.</w:t>
      </w:r>
    </w:p>
    <w:p>
      <w:pPr>
        <w:pStyle w:val="Compact"/>
        <w:numPr>
          <w:ilvl w:val="0"/>
          <w:numId w:val="1007"/>
        </w:numPr>
      </w:pPr>
      <w:r>
        <w:t xml:space="preserve">Подача актива на залог.</w:t>
      </w:r>
    </w:p>
    <w:p>
      <w:pPr>
        <w:pStyle w:val="Compact"/>
        <w:numPr>
          <w:ilvl w:val="0"/>
          <w:numId w:val="1007"/>
        </w:numPr>
      </w:pPr>
      <w:r>
        <w:t xml:space="preserve">Выпуск и обслуживание ЦФА.</w:t>
      </w:r>
    </w:p>
    <w:p>
      <w:pPr>
        <w:pStyle w:val="Compact"/>
        <w:numPr>
          <w:ilvl w:val="0"/>
          <w:numId w:val="1007"/>
        </w:numPr>
      </w:pPr>
      <w:r>
        <w:t xml:space="preserve">Расчёт и выплата вознаграждения.</w:t>
      </w:r>
    </w:p>
    <w:p>
      <w:pPr>
        <w:pStyle w:val="Compact"/>
        <w:numPr>
          <w:ilvl w:val="0"/>
          <w:numId w:val="1007"/>
        </w:numPr>
      </w:pPr>
      <w:r>
        <w:t xml:space="preserve">Уведомление о ключевых событиях смарт-контракта.</w:t>
      </w:r>
    </w:p>
    <w:p>
      <w:pPr>
        <w:pStyle w:val="Compact"/>
        <w:numPr>
          <w:ilvl w:val="0"/>
          <w:numId w:val="1007"/>
        </w:numPr>
      </w:pPr>
      <w:r>
        <w:t xml:space="preserve">Регуляторная отчётность в Банк России, Росфинмониторинг, ФНС.</w:t>
      </w:r>
    </w:p>
    <w:p>
      <w:pPr>
        <w:pStyle w:val="Compact"/>
        <w:numPr>
          <w:ilvl w:val="0"/>
          <w:numId w:val="1007"/>
        </w:numPr>
      </w:pPr>
      <w:r>
        <w:t xml:space="preserve">Обеспечение информационной безопасности.</w:t>
      </w:r>
    </w:p>
    <w:p>
      <w:pPr>
        <w:pStyle w:val="Compact"/>
        <w:numPr>
          <w:ilvl w:val="0"/>
          <w:numId w:val="1007"/>
        </w:numPr>
      </w:pPr>
      <w:r>
        <w:t xml:space="preserve">Поддержка пользователя.</w:t>
      </w:r>
    </w:p>
    <w:p>
      <w:pPr>
        <w:pStyle w:val="Compact"/>
        <w:numPr>
          <w:ilvl w:val="0"/>
          <w:numId w:val="1007"/>
        </w:numPr>
      </w:pPr>
      <w:r>
        <w:t xml:space="preserve">Соблюдение требований законодательства.</w:t>
      </w:r>
    </w:p>
    <w:bookmarkEnd w:id="17"/>
    <w:bookmarkStart w:id="18" w:name="правовые-основания-обработки"/>
    <w:p>
      <w:pPr>
        <w:pStyle w:val="Heading2"/>
      </w:pPr>
      <w:r>
        <w:t xml:space="preserve">4. Правовые основания обработки</w:t>
      </w:r>
    </w:p>
    <w:p>
      <w:pPr>
        <w:pStyle w:val="Compact"/>
        <w:numPr>
          <w:ilvl w:val="0"/>
          <w:numId w:val="1008"/>
        </w:numPr>
      </w:pPr>
      <w:r>
        <w:t xml:space="preserve">Согласие пользователя (пункт 1 части 1 статьи 6 152-ФЗ).</w:t>
      </w:r>
    </w:p>
    <w:p>
      <w:pPr>
        <w:pStyle w:val="Compact"/>
        <w:numPr>
          <w:ilvl w:val="0"/>
          <w:numId w:val="1008"/>
        </w:numPr>
      </w:pPr>
      <w:r>
        <w:t xml:space="preserve">Договор оказания услуг (пункт 5 части 1 статьи 6 152-ФЗ).</w:t>
      </w:r>
    </w:p>
    <w:p>
      <w:pPr>
        <w:pStyle w:val="Compact"/>
        <w:numPr>
          <w:ilvl w:val="0"/>
          <w:numId w:val="1008"/>
        </w:numPr>
      </w:pPr>
      <w:r>
        <w:t xml:space="preserve">Исполнение возложенных законодательством Российской Федерации функций (пункт 2 части 1 статьи 6 152-ФЗ).</w:t>
      </w:r>
    </w:p>
    <w:p>
      <w:pPr>
        <w:pStyle w:val="Compact"/>
        <w:numPr>
          <w:ilvl w:val="0"/>
          <w:numId w:val="1008"/>
        </w:numPr>
      </w:pPr>
      <w:r>
        <w:t xml:space="preserve">Достижение общественно значимых целей (пункт 7 части 1 статьи 6 152-ФЗ).</w:t>
      </w:r>
    </w:p>
    <w:bookmarkEnd w:id="18"/>
    <w:bookmarkStart w:id="19" w:name="сроки-обработки"/>
    <w:p>
      <w:pPr>
        <w:pStyle w:val="Heading2"/>
      </w:pPr>
      <w:r>
        <w:t xml:space="preserve">5. Сроки обработки</w:t>
      </w:r>
    </w:p>
    <w:p>
      <w:pPr>
        <w:pStyle w:val="Compact"/>
        <w:numPr>
          <w:ilvl w:val="0"/>
          <w:numId w:val="1009"/>
        </w:numPr>
      </w:pPr>
      <w:r>
        <w:t xml:space="preserve">В период активного использования Приложения.</w:t>
      </w:r>
    </w:p>
    <w:p>
      <w:pPr>
        <w:pStyle w:val="Compact"/>
        <w:numPr>
          <w:ilvl w:val="0"/>
          <w:numId w:val="1009"/>
        </w:numPr>
      </w:pPr>
      <w:r>
        <w:t xml:space="preserve">В течение 5 лет после удаления аккаунта — данные, необходимые для исполнения обязательств перед регуляторами.</w:t>
      </w:r>
    </w:p>
    <w:p>
      <w:pPr>
        <w:pStyle w:val="Compact"/>
        <w:numPr>
          <w:ilvl w:val="0"/>
          <w:numId w:val="1009"/>
        </w:numPr>
      </w:pPr>
      <w:r>
        <w:t xml:space="preserve">В течение 10 лет — журналы аудита (требование 187-ФЗ и инструкций Банка России).</w:t>
      </w:r>
    </w:p>
    <w:p>
      <w:pPr>
        <w:pStyle w:val="Compact"/>
        <w:numPr>
          <w:ilvl w:val="0"/>
          <w:numId w:val="1009"/>
        </w:numPr>
      </w:pPr>
      <w:r>
        <w:t xml:space="preserve">Бессрочно — записи о выпущенных ЦФА в распределённом реестре (с пометкой об удалении ПДн собственника по запросу).</w:t>
      </w:r>
    </w:p>
    <w:bookmarkEnd w:id="19"/>
    <w:bookmarkStart w:id="23" w:name="кому-мы-передаём-данные"/>
    <w:p>
      <w:pPr>
        <w:pStyle w:val="Heading2"/>
      </w:pPr>
      <w:r>
        <w:t xml:space="preserve">6. Кому мы передаём данные</w:t>
      </w:r>
    </w:p>
    <w:bookmarkStart w:id="20" w:name="государственным-органам"/>
    <w:p>
      <w:pPr>
        <w:pStyle w:val="Heading3"/>
      </w:pPr>
      <w:r>
        <w:t xml:space="preserve">6.1. Государственным органам</w:t>
      </w:r>
    </w:p>
    <w:p>
      <w:pPr>
        <w:pStyle w:val="Compact"/>
        <w:numPr>
          <w:ilvl w:val="0"/>
          <w:numId w:val="1010"/>
        </w:numPr>
      </w:pPr>
      <w:r>
        <w:t xml:space="preserve">Банк России (для регуляторного надзора).</w:t>
      </w:r>
    </w:p>
    <w:p>
      <w:pPr>
        <w:pStyle w:val="Compact"/>
        <w:numPr>
          <w:ilvl w:val="0"/>
          <w:numId w:val="1010"/>
        </w:numPr>
      </w:pPr>
      <w:r>
        <w:t xml:space="preserve">Федеральное казначейство (для целевого финансирования).</w:t>
      </w:r>
    </w:p>
    <w:p>
      <w:pPr>
        <w:pStyle w:val="Compact"/>
        <w:numPr>
          <w:ilvl w:val="0"/>
          <w:numId w:val="1010"/>
        </w:numPr>
      </w:pPr>
      <w:r>
        <w:t xml:space="preserve">Росфинмониторинг (для обязательного контроля по 115-ФЗ).</w:t>
      </w:r>
    </w:p>
    <w:p>
      <w:pPr>
        <w:pStyle w:val="Compact"/>
        <w:numPr>
          <w:ilvl w:val="0"/>
          <w:numId w:val="1010"/>
        </w:numPr>
      </w:pPr>
      <w:r>
        <w:t xml:space="preserve">ФНС России (для налогового учёта).</w:t>
      </w:r>
    </w:p>
    <w:p>
      <w:pPr>
        <w:pStyle w:val="Compact"/>
        <w:numPr>
          <w:ilvl w:val="0"/>
          <w:numId w:val="1010"/>
        </w:numPr>
      </w:pPr>
      <w:r>
        <w:t xml:space="preserve">Росреестр (для регистрации обременений).</w:t>
      </w:r>
    </w:p>
    <w:p>
      <w:pPr>
        <w:pStyle w:val="Compact"/>
        <w:numPr>
          <w:ilvl w:val="0"/>
          <w:numId w:val="1010"/>
        </w:numPr>
      </w:pPr>
      <w:r>
        <w:t xml:space="preserve">Правоохранительные органы (по официальному запросу в установленном законом порядке).</w:t>
      </w:r>
    </w:p>
    <w:bookmarkEnd w:id="20"/>
    <w:bookmarkStart w:id="21" w:name="партнёрам-по-операциям"/>
    <w:p>
      <w:pPr>
        <w:pStyle w:val="Heading3"/>
      </w:pPr>
      <w:r>
        <w:t xml:space="preserve">6.2. Партнёрам по операциям</w:t>
      </w:r>
    </w:p>
    <w:p>
      <w:pPr>
        <w:pStyle w:val="Compact"/>
        <w:numPr>
          <w:ilvl w:val="0"/>
          <w:numId w:val="1011"/>
        </w:numPr>
      </w:pPr>
      <w:r>
        <w:t xml:space="preserve">Оценочные организации-партнёры (только для проведения оценки конкретного актива).</w:t>
      </w:r>
    </w:p>
    <w:p>
      <w:pPr>
        <w:pStyle w:val="Compact"/>
        <w:numPr>
          <w:ilvl w:val="0"/>
          <w:numId w:val="1011"/>
        </w:numPr>
      </w:pPr>
      <w:r>
        <w:t xml:space="preserve">Страховые организации-партнёры (только для оформления страхования).</w:t>
      </w:r>
    </w:p>
    <w:p>
      <w:pPr>
        <w:pStyle w:val="Compact"/>
        <w:numPr>
          <w:ilvl w:val="0"/>
          <w:numId w:val="1011"/>
        </w:numPr>
      </w:pPr>
      <w:r>
        <w:t xml:space="preserve">Кредитные организации-партнёры (для выплат на банковский счёт).</w:t>
      </w:r>
    </w:p>
    <w:bookmarkEnd w:id="21"/>
    <w:bookmarkStart w:id="22" w:name="поставщикам-услуг"/>
    <w:p>
      <w:pPr>
        <w:pStyle w:val="Heading3"/>
      </w:pPr>
      <w:r>
        <w:t xml:space="preserve">6.3. Поставщикам услуг</w:t>
      </w:r>
    </w:p>
    <w:p>
      <w:pPr>
        <w:pStyle w:val="Compact"/>
        <w:numPr>
          <w:ilvl w:val="0"/>
          <w:numId w:val="1012"/>
        </w:numPr>
      </w:pPr>
      <w:r>
        <w:t xml:space="preserve">Поставщики облачной инфраструктуры на территории Российской Федерации.</w:t>
      </w:r>
    </w:p>
    <w:p>
      <w:pPr>
        <w:pStyle w:val="Compact"/>
        <w:numPr>
          <w:ilvl w:val="0"/>
          <w:numId w:val="1012"/>
        </w:numPr>
      </w:pPr>
      <w:r>
        <w:t xml:space="preserve">Поставщики систем безопасности (SIEM, EDR) — без доступа к ПДн в открытом виде.</w:t>
      </w:r>
    </w:p>
    <w:p>
      <w:pPr>
        <w:pStyle w:val="FirstParagraph"/>
      </w:pPr>
      <w:r>
        <w:rPr>
          <w:b/>
          <w:bCs/>
        </w:rPr>
        <w:t xml:space="preserve">Передача данных за пределы Российской Федерации не производится</w:t>
      </w:r>
      <w:r>
        <w:t xml:space="preserve"> </w:t>
      </w:r>
      <w:r>
        <w:t xml:space="preserve">в соответствии с пунктом 5 статьи 18 152-ФЗ.</w:t>
      </w:r>
    </w:p>
    <w:bookmarkEnd w:id="22"/>
    <w:bookmarkEnd w:id="23"/>
    <w:bookmarkStart w:id="24" w:name="меры-защиты-данных"/>
    <w:p>
      <w:pPr>
        <w:pStyle w:val="Heading2"/>
      </w:pPr>
      <w:r>
        <w:t xml:space="preserve">7. Меры защиты данных</w:t>
      </w:r>
    </w:p>
    <w:p>
      <w:pPr>
        <w:pStyle w:val="Compact"/>
        <w:numPr>
          <w:ilvl w:val="0"/>
          <w:numId w:val="1013"/>
        </w:numPr>
      </w:pPr>
      <w:r>
        <w:t xml:space="preserve">Категория объекта КИИ: 1-я (наивысшая).</w:t>
      </w:r>
    </w:p>
    <w:p>
      <w:pPr>
        <w:pStyle w:val="Compact"/>
        <w:numPr>
          <w:ilvl w:val="0"/>
          <w:numId w:val="1013"/>
        </w:numPr>
      </w:pPr>
      <w:r>
        <w:t xml:space="preserve">Уровень защищённости ИСПДн: УЗ-1.</w:t>
      </w:r>
    </w:p>
    <w:p>
      <w:pPr>
        <w:pStyle w:val="Compact"/>
        <w:numPr>
          <w:ilvl w:val="0"/>
          <w:numId w:val="1013"/>
        </w:numPr>
      </w:pPr>
      <w:r>
        <w:t xml:space="preserve">Уровень защиты по ГОСТ Р 57580.1: 4-й.</w:t>
      </w:r>
    </w:p>
    <w:p>
      <w:pPr>
        <w:pStyle w:val="Compact"/>
        <w:numPr>
          <w:ilvl w:val="0"/>
          <w:numId w:val="1013"/>
        </w:numPr>
      </w:pPr>
      <w:r>
        <w:t xml:space="preserve">Криптография: ГОСТ Р 34.10-2012, ГОСТ Р 34.11-2012.</w:t>
      </w:r>
    </w:p>
    <w:p>
      <w:pPr>
        <w:pStyle w:val="Compact"/>
        <w:numPr>
          <w:ilvl w:val="0"/>
          <w:numId w:val="1013"/>
        </w:numPr>
      </w:pPr>
      <w:r>
        <w:t xml:space="preserve">Локальное хранение чувствительных данных — только в защищённых хранилищах операционной системы.</w:t>
      </w:r>
    </w:p>
    <w:p>
      <w:pPr>
        <w:pStyle w:val="Compact"/>
        <w:numPr>
          <w:ilvl w:val="0"/>
          <w:numId w:val="1013"/>
        </w:numPr>
      </w:pPr>
      <w:r>
        <w:t xml:space="preserve">Шифрование данных в передаче — TLS с ГОСТ-сертификатами.</w:t>
      </w:r>
    </w:p>
    <w:p>
      <w:pPr>
        <w:pStyle w:val="Compact"/>
        <w:numPr>
          <w:ilvl w:val="0"/>
          <w:numId w:val="1013"/>
        </w:numPr>
      </w:pPr>
      <w:r>
        <w:t xml:space="preserve">Регулярный аудит ИБ — ежегодно.</w:t>
      </w:r>
    </w:p>
    <w:p>
      <w:pPr>
        <w:pStyle w:val="Compact"/>
        <w:numPr>
          <w:ilvl w:val="0"/>
          <w:numId w:val="1013"/>
        </w:numPr>
      </w:pPr>
      <w:r>
        <w:t xml:space="preserve">Внешний пентест — ежегодно.</w:t>
      </w:r>
    </w:p>
    <w:bookmarkEnd w:id="24"/>
    <w:bookmarkStart w:id="26" w:name="ваши-права"/>
    <w:p>
      <w:pPr>
        <w:pStyle w:val="Heading2"/>
      </w:pPr>
      <w:r>
        <w:t xml:space="preserve">8. Ваши права</w:t>
      </w:r>
    </w:p>
    <w:p>
      <w:pPr>
        <w:pStyle w:val="FirstParagraph"/>
      </w:pPr>
      <w:r>
        <w:t xml:space="preserve">В соответствии со статьями 14, 15, 16, 18 152-ФЗ вы имеете право:</w:t>
      </w:r>
    </w:p>
    <w:p>
      <w:pPr>
        <w:pStyle w:val="Compact"/>
        <w:numPr>
          <w:ilvl w:val="0"/>
          <w:numId w:val="1014"/>
        </w:numPr>
      </w:pPr>
      <w:r>
        <w:t xml:space="preserve">Получить подтверждение факта обработки ваших ПДн.</w:t>
      </w:r>
    </w:p>
    <w:p>
      <w:pPr>
        <w:pStyle w:val="Compact"/>
        <w:numPr>
          <w:ilvl w:val="0"/>
          <w:numId w:val="1014"/>
        </w:numPr>
      </w:pPr>
      <w:r>
        <w:t xml:space="preserve">Получить информацию об обрабатываемых ПДн.</w:t>
      </w:r>
    </w:p>
    <w:p>
      <w:pPr>
        <w:pStyle w:val="Compact"/>
        <w:numPr>
          <w:ilvl w:val="0"/>
          <w:numId w:val="1014"/>
        </w:numPr>
      </w:pPr>
      <w:r>
        <w:t xml:space="preserve">Требовать уточнения, блокирования, уничтожения неточных, незаконно обрабатываемых ПДн.</w:t>
      </w:r>
    </w:p>
    <w:p>
      <w:pPr>
        <w:pStyle w:val="Compact"/>
        <w:numPr>
          <w:ilvl w:val="0"/>
          <w:numId w:val="1014"/>
        </w:numPr>
      </w:pPr>
      <w:r>
        <w:t xml:space="preserve">Отозвать согласие на обработку ПДн.</w:t>
      </w:r>
    </w:p>
    <w:p>
      <w:pPr>
        <w:pStyle w:val="Compact"/>
        <w:numPr>
          <w:ilvl w:val="0"/>
          <w:numId w:val="1014"/>
        </w:numPr>
      </w:pPr>
      <w:r>
        <w:t xml:space="preserve">Обжаловать действия Оператора в Роскомнадзоре и суде.</w:t>
      </w:r>
    </w:p>
    <w:bookmarkStart w:id="25" w:name="как-реализовать-права"/>
    <w:p>
      <w:pPr>
        <w:pStyle w:val="Heading3"/>
      </w:pPr>
      <w:r>
        <w:t xml:space="preserve">Как реализовать права</w:t>
      </w:r>
    </w:p>
    <w:p>
      <w:pPr>
        <w:pStyle w:val="Compact"/>
        <w:numPr>
          <w:ilvl w:val="0"/>
          <w:numId w:val="1015"/>
        </w:numPr>
      </w:pPr>
      <w:r>
        <w:t xml:space="preserve">Через раздел «Профиль → Безопасность» в Приложении.</w:t>
      </w:r>
    </w:p>
    <w:p>
      <w:pPr>
        <w:pStyle w:val="Compact"/>
        <w:numPr>
          <w:ilvl w:val="0"/>
          <w:numId w:val="1015"/>
        </w:numPr>
      </w:pPr>
      <w:r>
        <w:t xml:space="preserve">По электронной почте: privacy@rsfsr.gov.ru.</w:t>
      </w:r>
    </w:p>
    <w:p>
      <w:pPr>
        <w:pStyle w:val="Compact"/>
        <w:numPr>
          <w:ilvl w:val="0"/>
          <w:numId w:val="1015"/>
        </w:numPr>
      </w:pPr>
      <w:r>
        <w:t xml:space="preserve">Письменным заявлением по адресу Оператора (указывается после регистрации юридического лица).</w:t>
      </w:r>
    </w:p>
    <w:bookmarkEnd w:id="25"/>
    <w:bookmarkEnd w:id="26"/>
    <w:bookmarkStart w:id="27" w:name="cookies-и-аналогичные-технологии"/>
    <w:p>
      <w:pPr>
        <w:pStyle w:val="Heading2"/>
      </w:pPr>
      <w:r>
        <w:t xml:space="preserve">9. Cookies и аналогичные технологии</w:t>
      </w:r>
    </w:p>
    <w:p>
      <w:pPr>
        <w:pStyle w:val="FirstParagraph"/>
      </w:pPr>
      <w:r>
        <w:t xml:space="preserve">Приложение использует локальные хранилища (LocalStorage, IndexedDB) для:</w:t>
      </w:r>
      <w:r>
        <w:t xml:space="preserve"> </w:t>
      </w:r>
      <w:r>
        <w:t xml:space="preserve">- Сохранения настроек интерфейса (тема, язык, размер шрифта).</w:t>
      </w:r>
      <w:r>
        <w:t xml:space="preserve"> </w:t>
      </w:r>
      <w:r>
        <w:t xml:space="preserve">- Кеширования данных для оффлайн-режима.</w:t>
      </w:r>
      <w:r>
        <w:t xml:space="preserve"> </w:t>
      </w:r>
      <w:r>
        <w:t xml:space="preserve">- Сохранения идентификаторов сессии.</w:t>
      </w:r>
    </w:p>
    <w:p>
      <w:pPr>
        <w:pStyle w:val="BodyText"/>
      </w:pPr>
      <w:r>
        <w:rPr>
          <w:b/>
          <w:bCs/>
        </w:rPr>
        <w:t xml:space="preserve">Сторонние трекеры и рекламные сети Приложением не используются.</w:t>
      </w:r>
    </w:p>
    <w:bookmarkEnd w:id="27"/>
    <w:bookmarkStart w:id="28" w:name="push-уведомления"/>
    <w:p>
      <w:pPr>
        <w:pStyle w:val="Heading2"/>
      </w:pPr>
      <w:r>
        <w:t xml:space="preserve">10. Push-уведомления</w:t>
      </w:r>
    </w:p>
    <w:p>
      <w:pPr>
        <w:pStyle w:val="FirstParagraph"/>
      </w:pPr>
      <w:r>
        <w:t xml:space="preserve">Push-уведомления отправляются:</w:t>
      </w:r>
      <w:r>
        <w:t xml:space="preserve"> </w:t>
      </w:r>
      <w:r>
        <w:t xml:space="preserve">- О ключевых событиях смарт-контракта (мена ЦФА, выплаты, страховые случаи).</w:t>
      </w:r>
      <w:r>
        <w:t xml:space="preserve"> </w:t>
      </w:r>
      <w:r>
        <w:t xml:space="preserve">- О новых программах финансирования.</w:t>
      </w:r>
      <w:r>
        <w:t xml:space="preserve"> </w:t>
      </w:r>
      <w:r>
        <w:t xml:space="preserve">- О технических работах.</w:t>
      </w:r>
    </w:p>
    <w:p>
      <w:pPr>
        <w:pStyle w:val="BodyText"/>
      </w:pPr>
      <w:r>
        <w:t xml:space="preserve">Вы можете отключить push-уведомления в разделе «Настройки» Приложения или средствами операционной системы.</w:t>
      </w:r>
    </w:p>
    <w:bookmarkEnd w:id="28"/>
    <w:bookmarkStart w:id="29" w:name="несовершеннолетние"/>
    <w:p>
      <w:pPr>
        <w:pStyle w:val="Heading2"/>
      </w:pPr>
      <w:r>
        <w:t xml:space="preserve">11. Несовершеннолетние</w:t>
      </w:r>
    </w:p>
    <w:p>
      <w:pPr>
        <w:pStyle w:val="FirstParagraph"/>
      </w:pPr>
      <w:r>
        <w:t xml:space="preserve">Приложение предназначено для лиц старше 18 лет. Мы не собираем сознательно данные несовершеннолетних. При обнаружении таких данных они немедленно удаляются.</w:t>
      </w:r>
    </w:p>
    <w:bookmarkEnd w:id="29"/>
    <w:bookmarkStart w:id="30" w:name="изменения-политики"/>
    <w:p>
      <w:pPr>
        <w:pStyle w:val="Heading2"/>
      </w:pPr>
      <w:r>
        <w:t xml:space="preserve">12. Изменения Политики</w:t>
      </w:r>
    </w:p>
    <w:p>
      <w:pPr>
        <w:pStyle w:val="FirstParagraph"/>
      </w:pPr>
      <w:r>
        <w:t xml:space="preserve">Мы можем изменять Политику. Уведомление об изменениях публикуется в Приложении и на сайте rsfsr.gov.ru за 30 дней до вступления изменений в силу. Использование Приложения после вступления изменений в силу означает согласие с новой редакцией.</w:t>
      </w:r>
    </w:p>
    <w:bookmarkEnd w:id="30"/>
    <w:bookmarkStart w:id="31" w:name="контакты"/>
    <w:p>
      <w:pPr>
        <w:pStyle w:val="Heading2"/>
      </w:pPr>
      <w:r>
        <w:t xml:space="preserve">13.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Вопросы по обработке ПДн</w:t>
            </w:r>
          </w:p>
        </w:tc>
        <w:tc>
          <w:tcPr/>
          <w:p>
            <w:pPr>
              <w:pStyle w:val="Compact"/>
            </w:pPr>
            <w:r>
              <w:t xml:space="preserve">privacy@rsfsr.gov.ru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Юридические вопросы</w:t>
            </w:r>
          </w:p>
        </w:tc>
        <w:tc>
          <w:tcPr/>
          <w:p>
            <w:pPr>
              <w:pStyle w:val="Compact"/>
            </w:pPr>
            <w:r>
              <w:t xml:space="preserve">legal@rsfsr.gov.ru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пользователей</w:t>
            </w:r>
          </w:p>
        </w:tc>
        <w:tc>
          <w:tcPr/>
          <w:p>
            <w:pPr>
              <w:pStyle w:val="Compact"/>
            </w:pPr>
            <w:r>
              <w:t xml:space="preserve">support@rsfsr.gov.ru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Регуляторные запросы</w:t>
            </w:r>
          </w:p>
        </w:tc>
        <w:tc>
          <w:tcPr/>
          <w:p>
            <w:pPr>
              <w:pStyle w:val="Compact"/>
            </w:pPr>
            <w:r>
              <w:t xml:space="preserve">regulator@rsfsr.gov.ru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Оператор персональных данных:</w:t>
      </w:r>
      <w:r>
        <w:t xml:space="preserve"> </w:t>
      </w:r>
      <w:r>
        <w:t xml:space="preserve">[юридическое лицо, регистрируемое для эксплуатации платформы; будет указано при регистрации в Роскомнадзоре].</w:t>
      </w:r>
    </w:p>
    <w:p>
      <w:pPr>
        <w:pStyle w:val="BodyText"/>
      </w:pPr>
      <w:r>
        <w:rPr>
          <w:b/>
          <w:bCs/>
        </w:rPr>
        <w:t xml:space="preserve">Регистрация в реестре операторов ПДн Роскомнадзора:</w:t>
      </w:r>
      <w:r>
        <w:t xml:space="preserve"> </w:t>
      </w:r>
      <w:r>
        <w:t xml:space="preserve">[номер записи будет указан после регистрации].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Настоящая Политика составлена в соответствии с требованиями статей 14, 18, 18.1 152-ФЗ и подлежит размещению по адресу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https://rsfsr.gov.ru/privacy</w:t>
      </w:r>
      <w:r>
        <w:rPr>
          <w:i/>
          <w:iCs/>
        </w:rP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2026-05-23T23:01:27Z</dcterms:created>
  <dcterms:modified xsi:type="dcterms:W3CDTF">2026-05-23T23:01:27Z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