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6203916a1581fe72b80cc9228d28926938a8a62"/>
    <w:p>
      <w:pPr>
        <w:pStyle w:val="Heading1"/>
      </w:pPr>
      <w:r>
        <w:t xml:space="preserve">Спецификация мобильного приложения ЦП РСФСР</w:t>
      </w:r>
    </w:p>
    <w:p>
      <w:pPr>
        <w:pStyle w:val="FirstParagraph"/>
      </w:pPr>
      <w:r>
        <w:rPr>
          <w:b/>
          <w:bCs/>
        </w:rPr>
        <w:t xml:space="preserve">Платформы:</w:t>
      </w:r>
      <w:r>
        <w:t xml:space="preserve"> </w:t>
      </w:r>
      <w:r>
        <w:t xml:space="preserve">iOS / Android / Windows.</w:t>
      </w:r>
      <w:r>
        <w:t xml:space="preserve"> </w:t>
      </w:r>
      <w:r>
        <w:rPr>
          <w:b/>
          <w:bCs/>
        </w:rPr>
        <w:t xml:space="preserve">Целевая аудитория:</w:t>
      </w:r>
      <w:r>
        <w:t xml:space="preserve"> </w:t>
      </w:r>
      <w:r>
        <w:t xml:space="preserve">залогодатели — физические и юридические лица, представители государственных предприятий, ИП, НКО и фондов.</w:t>
      </w:r>
      <w:r>
        <w:t xml:space="preserve"> </w:t>
      </w:r>
      <w:r>
        <w:rPr>
          <w:b/>
          <w:bCs/>
        </w:rPr>
        <w:t xml:space="preserve">Ключевые цели:</w:t>
      </w:r>
      <w:r>
        <w:t xml:space="preserve"> </w:t>
      </w:r>
      <w:r>
        <w:t xml:space="preserve">обеспечить безопасное удалённое управление активами, выпуск и обслуживание ЦФА, получение вознаграждения.</w:t>
      </w:r>
    </w:p>
    <w:p>
      <w:r>
        <w:pict>
          <v:rect style="width:0;height:1.5pt" o:hralign="center" o:hrstd="t" o:hr="t"/>
        </w:pict>
      </w:r>
    </w:p>
    <w:bookmarkStart w:id="13" w:name="технологический-стек"/>
    <w:p>
      <w:pPr>
        <w:pStyle w:val="Heading2"/>
      </w:pPr>
      <w:r>
        <w:t xml:space="preserve">1. Технологический стек</w:t>
      </w:r>
    </w:p>
    <w:bookmarkStart w:id="9" w:name="кросс-платформенная-реализация"/>
    <w:p>
      <w:pPr>
        <w:pStyle w:val="Heading3"/>
      </w:pPr>
      <w:r>
        <w:t xml:space="preserve">1.1. Кросс-платформенная реализация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iOS + Android:</w:t>
      </w:r>
      <w:r>
        <w:t xml:space="preserve"> </w:t>
      </w:r>
      <w:r>
        <w:t xml:space="preserve">React Native 0.74+ с TypeScript.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 / macOS desktop:</w:t>
      </w:r>
      <w:r>
        <w:t xml:space="preserve"> </w:t>
      </w:r>
      <w:r>
        <w:t xml:space="preserve">.NET MAUI 8 (C#).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Общая бизнес-логика:</w:t>
      </w:r>
      <w:r>
        <w:t xml:space="preserve"> </w:t>
      </w:r>
      <w:r>
        <w:t xml:space="preserve">TypeScript + WebAssembly-модули для критичных функций (криптография, подпись).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Дизайн-система:</w:t>
      </w:r>
      <w:r>
        <w:t xml:space="preserve"> </w:t>
      </w:r>
      <w:r>
        <w:t xml:space="preserve">на основе бренд-токенов проекта (Дизайн-токены.json), с native-overrides для iOS (SF Pro) и Android (Roboto).</w:t>
      </w:r>
    </w:p>
    <w:bookmarkEnd w:id="9"/>
    <w:bookmarkStart w:id="10" w:name="архитектура-клиентского-приложения"/>
    <w:p>
      <w:pPr>
        <w:pStyle w:val="Heading3"/>
      </w:pPr>
      <w:r>
        <w:t xml:space="preserve">1.2. Архитектура клиентского приложения</w:t>
      </w:r>
    </w:p>
    <w:p>
      <w:pPr>
        <w:pStyle w:val="Compact"/>
        <w:numPr>
          <w:ilvl w:val="0"/>
          <w:numId w:val="1002"/>
        </w:numPr>
      </w:pPr>
      <w:r>
        <w:t xml:space="preserve">Pattern: Clean Architecture + MVVM.</w:t>
      </w:r>
    </w:p>
    <w:p>
      <w:pPr>
        <w:pStyle w:val="Compact"/>
        <w:numPr>
          <w:ilvl w:val="0"/>
          <w:numId w:val="1002"/>
        </w:numPr>
      </w:pPr>
      <w:r>
        <w:t xml:space="preserve">State management: Redux Toolkit / Zustand.</w:t>
      </w:r>
    </w:p>
    <w:p>
      <w:pPr>
        <w:pStyle w:val="Compact"/>
        <w:numPr>
          <w:ilvl w:val="0"/>
          <w:numId w:val="1002"/>
        </w:numPr>
      </w:pPr>
      <w:r>
        <w:t xml:space="preserve">Навигация: React Navigation 6 / .NET MAUI Shell.</w:t>
      </w:r>
    </w:p>
    <w:p>
      <w:pPr>
        <w:pStyle w:val="Compact"/>
        <w:numPr>
          <w:ilvl w:val="0"/>
          <w:numId w:val="1002"/>
        </w:numPr>
      </w:pPr>
      <w:r>
        <w:t xml:space="preserve">API-клиент: автогенерация из OpenAPI 3.1.</w:t>
      </w:r>
    </w:p>
    <w:bookmarkEnd w:id="10"/>
    <w:bookmarkStart w:id="11" w:name="хранение-данных-на-устройстве"/>
    <w:p>
      <w:pPr>
        <w:pStyle w:val="Heading3"/>
      </w:pPr>
      <w:r>
        <w:t xml:space="preserve">1.3. Хранение данных на устройстве</w:t>
      </w:r>
    </w:p>
    <w:p>
      <w:pPr>
        <w:pStyle w:val="Compact"/>
        <w:numPr>
          <w:ilvl w:val="0"/>
          <w:numId w:val="1003"/>
        </w:numPr>
      </w:pPr>
      <w:r>
        <w:t xml:space="preserve">Sensitive data: iOS Keychain / Android Keystore / Windows Credential Locker — только зашифрованные токены.</w:t>
      </w:r>
    </w:p>
    <w:p>
      <w:pPr>
        <w:pStyle w:val="Compact"/>
        <w:numPr>
          <w:ilvl w:val="0"/>
          <w:numId w:val="1003"/>
        </w:numPr>
      </w:pPr>
      <w:r>
        <w:t xml:space="preserve">Биометрические данные не хранятся локально — только идентификаторы для верификации через ЕБС.</w:t>
      </w:r>
    </w:p>
    <w:p>
      <w:pPr>
        <w:pStyle w:val="Compact"/>
        <w:numPr>
          <w:ilvl w:val="0"/>
          <w:numId w:val="1003"/>
        </w:numPr>
      </w:pPr>
      <w:r>
        <w:t xml:space="preserve">Локальный кеш — SQLCipher (шифрованный SQLite).</w:t>
      </w:r>
    </w:p>
    <w:bookmarkEnd w:id="11"/>
    <w:bookmarkStart w:id="12" w:name="криптография"/>
    <w:p>
      <w:pPr>
        <w:pStyle w:val="Heading3"/>
      </w:pPr>
      <w:r>
        <w:t xml:space="preserve">1.4. Криптография</w:t>
      </w:r>
    </w:p>
    <w:p>
      <w:pPr>
        <w:pStyle w:val="Compact"/>
        <w:numPr>
          <w:ilvl w:val="0"/>
          <w:numId w:val="1004"/>
        </w:numPr>
      </w:pPr>
      <w:r>
        <w:t xml:space="preserve">УКЭП в мобильном устройстве — через КриптоПро ЭП (мобильный SDK).</w:t>
      </w:r>
    </w:p>
    <w:p>
      <w:pPr>
        <w:pStyle w:val="Compact"/>
        <w:numPr>
          <w:ilvl w:val="0"/>
          <w:numId w:val="1004"/>
        </w:numPr>
      </w:pPr>
      <w:r>
        <w:t xml:space="preserve">Хеширование — ГОСТ Р 34.11-2012.</w:t>
      </w:r>
    </w:p>
    <w:p>
      <w:pPr>
        <w:pStyle w:val="Compact"/>
        <w:numPr>
          <w:ilvl w:val="0"/>
          <w:numId w:val="1004"/>
        </w:numPr>
      </w:pPr>
      <w:r>
        <w:t xml:space="preserve">TLS-каналы — с использованием ГОСТ-сертификатов.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безопасность"/>
    <w:p>
      <w:pPr>
        <w:pStyle w:val="Heading2"/>
      </w:pPr>
      <w:r>
        <w:t xml:space="preserve">2. Безопасность</w:t>
      </w:r>
    </w:p>
    <w:bookmarkStart w:id="14" w:name="идентификация-и-аутентификация"/>
    <w:p>
      <w:pPr>
        <w:pStyle w:val="Heading3"/>
      </w:pPr>
      <w:r>
        <w:t xml:space="preserve">2.1. Идентификация и аутентификация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Первичная авторизация</w:t>
      </w:r>
      <w:r>
        <w:t xml:space="preserve"> </w:t>
      </w:r>
      <w:r>
        <w:t xml:space="preserve">— через ЕСИА (OpenID Connect) с подтверждённой учётной записью.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Дополнительные факторы:</w:t>
      </w:r>
    </w:p>
    <w:p>
      <w:pPr>
        <w:pStyle w:val="Compact"/>
        <w:numPr>
          <w:ilvl w:val="1"/>
          <w:numId w:val="1006"/>
        </w:numPr>
      </w:pPr>
      <w:r>
        <w:t xml:space="preserve">Биометрия устройства (TouchID / FaceID / Windows Hello) для доступа к приложению.</w:t>
      </w:r>
    </w:p>
    <w:p>
      <w:pPr>
        <w:pStyle w:val="Compact"/>
        <w:numPr>
          <w:ilvl w:val="1"/>
          <w:numId w:val="1006"/>
        </w:numPr>
      </w:pPr>
      <w:r>
        <w:t xml:space="preserve">Биометрия через ЕБС (Положение Банка России №482-П) для подписания критичных операций.</w:t>
      </w:r>
    </w:p>
    <w:p>
      <w:pPr>
        <w:pStyle w:val="Compact"/>
        <w:numPr>
          <w:ilvl w:val="1"/>
          <w:numId w:val="1006"/>
        </w:numPr>
      </w:pPr>
      <w:r>
        <w:t xml:space="preserve">OTP (SMS / push) для критичных операций (подписание смарт-контракта).</w:t>
      </w:r>
    </w:p>
    <w:bookmarkEnd w:id="14"/>
    <w:bookmarkStart w:id="15" w:name="защита-приложения"/>
    <w:p>
      <w:pPr>
        <w:pStyle w:val="Heading3"/>
      </w:pPr>
      <w:r>
        <w:t xml:space="preserve">2.2. Защита приложения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Anti-tampering</w:t>
      </w:r>
      <w:r>
        <w:t xml:space="preserve">: Mobile Application Shielding (MAS) — отечественные решения класса.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Jailbreak / Root Detection</w:t>
      </w:r>
      <w:r>
        <w:t xml:space="preserve"> </w:t>
      </w:r>
      <w:r>
        <w:t xml:space="preserve">— отказ работы на скомпрометированных устройствах.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Anti-debug</w:t>
      </w:r>
      <w:r>
        <w:t xml:space="preserve"> </w:t>
      </w:r>
      <w:r>
        <w:t xml:space="preserve">— обфускация, защита от runtime-инъекций.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Anti-screenshot</w:t>
      </w:r>
      <w:r>
        <w:t xml:space="preserve"> </w:t>
      </w:r>
      <w:r>
        <w:t xml:space="preserve">для критичных экранов (смарт-контракт, OTP).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Certificate pinning</w:t>
      </w:r>
      <w:r>
        <w:t xml:space="preserve"> </w:t>
      </w:r>
      <w:r>
        <w:t xml:space="preserve">на TLS-каналах.</w:t>
      </w:r>
    </w:p>
    <w:bookmarkEnd w:id="15"/>
    <w:bookmarkStart w:id="16" w:name="защита-от-фрода"/>
    <w:p>
      <w:pPr>
        <w:pStyle w:val="Heading3"/>
      </w:pPr>
      <w:r>
        <w:t xml:space="preserve">2.3. Защита от фрода</w:t>
      </w:r>
    </w:p>
    <w:p>
      <w:pPr>
        <w:pStyle w:val="Compact"/>
        <w:numPr>
          <w:ilvl w:val="0"/>
          <w:numId w:val="1008"/>
        </w:numPr>
      </w:pPr>
      <w:r>
        <w:t xml:space="preserve">Поведенческая аналитика (поведенческая биометрия).</w:t>
      </w:r>
    </w:p>
    <w:p>
      <w:pPr>
        <w:pStyle w:val="Compact"/>
        <w:numPr>
          <w:ilvl w:val="0"/>
          <w:numId w:val="1008"/>
        </w:numPr>
      </w:pPr>
      <w:r>
        <w:t xml:space="preserve">Device fingerprinting.</w:t>
      </w:r>
    </w:p>
    <w:p>
      <w:pPr>
        <w:pStyle w:val="Compact"/>
        <w:numPr>
          <w:ilvl w:val="0"/>
          <w:numId w:val="1008"/>
        </w:numPr>
      </w:pPr>
      <w:r>
        <w:t xml:space="preserve">Геолокация и временные паттерны.</w:t>
      </w:r>
    </w:p>
    <w:bookmarkEnd w:id="16"/>
    <w:bookmarkStart w:id="17" w:name="хранение-секретов"/>
    <w:p>
      <w:pPr>
        <w:pStyle w:val="Heading3"/>
      </w:pPr>
      <w:r>
        <w:t xml:space="preserve">2.4. Хранение секретов</w:t>
      </w:r>
    </w:p>
    <w:p>
      <w:pPr>
        <w:pStyle w:val="Compact"/>
        <w:numPr>
          <w:ilvl w:val="0"/>
          <w:numId w:val="1009"/>
        </w:numPr>
      </w:pPr>
      <w:r>
        <w:t xml:space="preserve">Только в TEE (Trusted Execution Environment) / Secure Enclave.</w:t>
      </w:r>
    </w:p>
    <w:p>
      <w:pPr>
        <w:pStyle w:val="Compact"/>
        <w:numPr>
          <w:ilvl w:val="0"/>
          <w:numId w:val="1009"/>
        </w:numPr>
      </w:pPr>
      <w:r>
        <w:t xml:space="preserve">Никаких ключей в общей памяти приложения.</w:t>
      </w:r>
    </w:p>
    <w:bookmarkEnd w:id="17"/>
    <w:bookmarkStart w:id="18" w:name="соответствие"/>
    <w:p>
      <w:pPr>
        <w:pStyle w:val="Heading3"/>
      </w:pPr>
      <w:r>
        <w:t xml:space="preserve">2.5. Соответствие</w:t>
      </w:r>
    </w:p>
    <w:p>
      <w:pPr>
        <w:pStyle w:val="Compact"/>
        <w:numPr>
          <w:ilvl w:val="0"/>
          <w:numId w:val="1010"/>
        </w:numPr>
      </w:pPr>
      <w:r>
        <w:t xml:space="preserve">152-ФЗ (защита ПДн).</w:t>
      </w:r>
    </w:p>
    <w:p>
      <w:pPr>
        <w:pStyle w:val="Compact"/>
        <w:numPr>
          <w:ilvl w:val="0"/>
          <w:numId w:val="1010"/>
        </w:numPr>
      </w:pPr>
      <w:r>
        <w:t xml:space="preserve">187-ФЗ (КИИ) — приложение является частью значимого объекта КИИ 1 категории.</w:t>
      </w:r>
    </w:p>
    <w:p>
      <w:pPr>
        <w:pStyle w:val="Compact"/>
        <w:numPr>
          <w:ilvl w:val="0"/>
          <w:numId w:val="1010"/>
        </w:numPr>
      </w:pPr>
      <w:r>
        <w:t xml:space="preserve">Указание Банка России №6635-У (инциденты ИБ).</w:t>
      </w:r>
    </w:p>
    <w:p>
      <w:pPr>
        <w:pStyle w:val="Compact"/>
        <w:numPr>
          <w:ilvl w:val="0"/>
          <w:numId w:val="1010"/>
        </w:numPr>
      </w:pPr>
      <w:r>
        <w:t xml:space="preserve">Стандарт OWASP MASVS Level 2+.</w:t>
      </w:r>
    </w:p>
    <w:p>
      <w:pPr>
        <w:pStyle w:val="Compact"/>
        <w:numPr>
          <w:ilvl w:val="0"/>
          <w:numId w:val="1010"/>
        </w:numPr>
      </w:pPr>
      <w:r>
        <w:t xml:space="preserve">Соответствие WCAG 2.2 AA (доступность).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0" w:name="функциональные-модули"/>
    <w:p>
      <w:pPr>
        <w:pStyle w:val="Heading2"/>
      </w:pPr>
      <w:r>
        <w:t xml:space="preserve">3. Функциональные модули</w:t>
      </w:r>
    </w:p>
    <w:bookmarkStart w:id="20" w:name="регистрация-и-идентификация"/>
    <w:p>
      <w:pPr>
        <w:pStyle w:val="Heading3"/>
      </w:pPr>
      <w:r>
        <w:t xml:space="preserve">3.1. Регистрация и идентификация</w:t>
      </w:r>
    </w:p>
    <w:p>
      <w:pPr>
        <w:pStyle w:val="Compact"/>
        <w:numPr>
          <w:ilvl w:val="0"/>
          <w:numId w:val="1011"/>
        </w:numPr>
      </w:pPr>
      <w:r>
        <w:t xml:space="preserve">Авторизация через ЕСИА.</w:t>
      </w:r>
    </w:p>
    <w:p>
      <w:pPr>
        <w:pStyle w:val="Compact"/>
        <w:numPr>
          <w:ilvl w:val="0"/>
          <w:numId w:val="1011"/>
        </w:numPr>
      </w:pPr>
      <w:r>
        <w:t xml:space="preserve">Верификация биометрии через ЕБС.</w:t>
      </w:r>
    </w:p>
    <w:p>
      <w:pPr>
        <w:pStyle w:val="Compact"/>
        <w:numPr>
          <w:ilvl w:val="0"/>
          <w:numId w:val="1011"/>
        </w:numPr>
      </w:pPr>
      <w:r>
        <w:t xml:space="preserve">Привязка устройства.</w:t>
      </w:r>
    </w:p>
    <w:p>
      <w:pPr>
        <w:pStyle w:val="Compact"/>
        <w:numPr>
          <w:ilvl w:val="0"/>
          <w:numId w:val="1011"/>
        </w:numPr>
      </w:pPr>
      <w:r>
        <w:t xml:space="preserve">Согласия на обработку ПДн.</w:t>
      </w:r>
    </w:p>
    <w:bookmarkEnd w:id="20"/>
    <w:bookmarkStart w:id="21" w:name="личный-кабинет"/>
    <w:p>
      <w:pPr>
        <w:pStyle w:val="Heading3"/>
      </w:pPr>
      <w:r>
        <w:t xml:space="preserve">3.2. Личный кабинет</w:t>
      </w:r>
    </w:p>
    <w:p>
      <w:pPr>
        <w:pStyle w:val="Compact"/>
        <w:numPr>
          <w:ilvl w:val="0"/>
          <w:numId w:val="1012"/>
        </w:numPr>
      </w:pPr>
      <w:r>
        <w:t xml:space="preserve">Дашборд: общий баланс активов в работе, текущий доход, портфель ЦФА.</w:t>
      </w:r>
    </w:p>
    <w:p>
      <w:pPr>
        <w:pStyle w:val="Compact"/>
        <w:numPr>
          <w:ilvl w:val="0"/>
          <w:numId w:val="1012"/>
        </w:numPr>
      </w:pPr>
      <w:r>
        <w:t xml:space="preserve">Список активов с фильтрами и поиском.</w:t>
      </w:r>
    </w:p>
    <w:p>
      <w:pPr>
        <w:pStyle w:val="Compact"/>
        <w:numPr>
          <w:ilvl w:val="0"/>
          <w:numId w:val="1012"/>
        </w:numPr>
      </w:pPr>
      <w:r>
        <w:t xml:space="preserve">Каждый актив: характеристики, история, текущий ЦФА.</w:t>
      </w:r>
    </w:p>
    <w:bookmarkEnd w:id="21"/>
    <w:bookmarkStart w:id="22" w:name="подача-актива-на-залог"/>
    <w:p>
      <w:pPr>
        <w:pStyle w:val="Heading3"/>
      </w:pPr>
      <w:r>
        <w:t xml:space="preserve">3.3. Подача актива на залог</w:t>
      </w:r>
    </w:p>
    <w:p>
      <w:pPr>
        <w:pStyle w:val="Compact"/>
        <w:numPr>
          <w:ilvl w:val="0"/>
          <w:numId w:val="1013"/>
        </w:numPr>
      </w:pPr>
      <w:r>
        <w:t xml:space="preserve">Выбор типа имущества.</w:t>
      </w:r>
    </w:p>
    <w:p>
      <w:pPr>
        <w:pStyle w:val="Compact"/>
        <w:numPr>
          <w:ilvl w:val="0"/>
          <w:numId w:val="1013"/>
        </w:numPr>
      </w:pPr>
      <w:r>
        <w:t xml:space="preserve">Подгрузка данных из государственных реестров (ЕГРН, Роспатент, депозитарии).</w:t>
      </w:r>
    </w:p>
    <w:p>
      <w:pPr>
        <w:pStyle w:val="Compact"/>
        <w:numPr>
          <w:ilvl w:val="0"/>
          <w:numId w:val="1013"/>
        </w:numPr>
      </w:pPr>
      <w:r>
        <w:t xml:space="preserve">Прикрепление документов.</w:t>
      </w:r>
    </w:p>
    <w:p>
      <w:pPr>
        <w:pStyle w:val="Compact"/>
        <w:numPr>
          <w:ilvl w:val="0"/>
          <w:numId w:val="1013"/>
        </w:numPr>
      </w:pPr>
      <w:r>
        <w:t xml:space="preserve">Заявка на оценку.</w:t>
      </w:r>
    </w:p>
    <w:bookmarkEnd w:id="22"/>
    <w:bookmarkStart w:id="23" w:name="оценка"/>
    <w:p>
      <w:pPr>
        <w:pStyle w:val="Heading3"/>
      </w:pPr>
      <w:r>
        <w:t xml:space="preserve">3.4. Оценка</w:t>
      </w:r>
    </w:p>
    <w:p>
      <w:pPr>
        <w:pStyle w:val="Compact"/>
        <w:numPr>
          <w:ilvl w:val="0"/>
          <w:numId w:val="1014"/>
        </w:numPr>
      </w:pPr>
      <w:r>
        <w:t xml:space="preserve">Просмотр статуса заявки.</w:t>
      </w:r>
    </w:p>
    <w:p>
      <w:pPr>
        <w:pStyle w:val="Compact"/>
        <w:numPr>
          <w:ilvl w:val="0"/>
          <w:numId w:val="1014"/>
        </w:numPr>
      </w:pPr>
      <w:r>
        <w:t xml:space="preserve">Результат оценки с возможностью обжалования.</w:t>
      </w:r>
    </w:p>
    <w:p>
      <w:pPr>
        <w:pStyle w:val="Compact"/>
        <w:numPr>
          <w:ilvl w:val="0"/>
          <w:numId w:val="1014"/>
        </w:numPr>
      </w:pPr>
      <w:r>
        <w:t xml:space="preserve">Информация о страховании.</w:t>
      </w:r>
    </w:p>
    <w:bookmarkEnd w:id="23"/>
    <w:bookmarkStart w:id="24" w:name="смарт-контракт"/>
    <w:p>
      <w:pPr>
        <w:pStyle w:val="Heading3"/>
      </w:pPr>
      <w:r>
        <w:t xml:space="preserve">3.5. Смарт-контракт</w:t>
      </w:r>
    </w:p>
    <w:p>
      <w:pPr>
        <w:pStyle w:val="Compact"/>
        <w:numPr>
          <w:ilvl w:val="0"/>
          <w:numId w:val="1015"/>
        </w:numPr>
      </w:pPr>
      <w:r>
        <w:t xml:space="preserve">Конструктор условий.</w:t>
      </w:r>
    </w:p>
    <w:p>
      <w:pPr>
        <w:pStyle w:val="Compact"/>
        <w:numPr>
          <w:ilvl w:val="0"/>
          <w:numId w:val="1015"/>
        </w:numPr>
      </w:pPr>
      <w:r>
        <w:t xml:space="preserve">Просмотр полного текста контракта.</w:t>
      </w:r>
    </w:p>
    <w:p>
      <w:pPr>
        <w:pStyle w:val="Compact"/>
        <w:numPr>
          <w:ilvl w:val="0"/>
          <w:numId w:val="1015"/>
        </w:numPr>
      </w:pPr>
      <w:r>
        <w:t xml:space="preserve">Электронное подписание УКЭП (мобильный сертификат).</w:t>
      </w:r>
    </w:p>
    <w:bookmarkEnd w:id="24"/>
    <w:bookmarkStart w:id="25" w:name="управление-цфа"/>
    <w:p>
      <w:pPr>
        <w:pStyle w:val="Heading3"/>
      </w:pPr>
      <w:r>
        <w:t xml:space="preserve">3.6. Управление ЦФА</w:t>
      </w:r>
    </w:p>
    <w:p>
      <w:pPr>
        <w:pStyle w:val="Compact"/>
        <w:numPr>
          <w:ilvl w:val="0"/>
          <w:numId w:val="1016"/>
        </w:numPr>
      </w:pPr>
      <w:r>
        <w:t xml:space="preserve">Список активных ЦФА.</w:t>
      </w:r>
    </w:p>
    <w:p>
      <w:pPr>
        <w:pStyle w:val="Compact"/>
        <w:numPr>
          <w:ilvl w:val="0"/>
          <w:numId w:val="1016"/>
        </w:numPr>
      </w:pPr>
      <w:r>
        <w:t xml:space="preserve">Состояние каждого ЦФА в DLT-реестре.</w:t>
      </w:r>
    </w:p>
    <w:p>
      <w:pPr>
        <w:pStyle w:val="Compact"/>
        <w:numPr>
          <w:ilvl w:val="0"/>
          <w:numId w:val="1016"/>
        </w:numPr>
      </w:pPr>
      <w:r>
        <w:t xml:space="preserve">Ожидаемые события (мена, страховые случаи, окончание срока).</w:t>
      </w:r>
    </w:p>
    <w:bookmarkEnd w:id="25"/>
    <w:bookmarkStart w:id="26" w:name="доходы"/>
    <w:p>
      <w:pPr>
        <w:pStyle w:val="Heading3"/>
      </w:pPr>
      <w:r>
        <w:t xml:space="preserve">3.7. Доходы</w:t>
      </w:r>
    </w:p>
    <w:p>
      <w:pPr>
        <w:pStyle w:val="Compact"/>
        <w:numPr>
          <w:ilvl w:val="0"/>
          <w:numId w:val="1017"/>
        </w:numPr>
      </w:pPr>
      <w:r>
        <w:t xml:space="preserve">История выплат.</w:t>
      </w:r>
    </w:p>
    <w:p>
      <w:pPr>
        <w:pStyle w:val="Compact"/>
        <w:numPr>
          <w:ilvl w:val="0"/>
          <w:numId w:val="1017"/>
        </w:numPr>
      </w:pPr>
      <w:r>
        <w:t xml:space="preserve">Сводка по кварталам и годам.</w:t>
      </w:r>
    </w:p>
    <w:p>
      <w:pPr>
        <w:pStyle w:val="Compact"/>
        <w:numPr>
          <w:ilvl w:val="0"/>
          <w:numId w:val="1017"/>
        </w:numPr>
      </w:pPr>
      <w:r>
        <w:t xml:space="preserve">Скачивание справки 2-НДФЛ.</w:t>
      </w:r>
    </w:p>
    <w:bookmarkEnd w:id="26"/>
    <w:bookmarkStart w:id="27" w:name="уведомления"/>
    <w:p>
      <w:pPr>
        <w:pStyle w:val="Heading3"/>
      </w:pPr>
      <w:r>
        <w:t xml:space="preserve">3.8. Уведомления</w:t>
      </w:r>
    </w:p>
    <w:p>
      <w:pPr>
        <w:pStyle w:val="Compact"/>
        <w:numPr>
          <w:ilvl w:val="0"/>
          <w:numId w:val="1018"/>
        </w:numPr>
      </w:pPr>
      <w:r>
        <w:t xml:space="preserve">Push-уведомления по критичным событиям.</w:t>
      </w:r>
    </w:p>
    <w:p>
      <w:pPr>
        <w:pStyle w:val="Compact"/>
        <w:numPr>
          <w:ilvl w:val="0"/>
          <w:numId w:val="1018"/>
        </w:numPr>
      </w:pPr>
      <w:r>
        <w:t xml:space="preserve">Уведомления через Госуслуги (для согласий, изменений).</w:t>
      </w:r>
    </w:p>
    <w:bookmarkEnd w:id="27"/>
    <w:bookmarkStart w:id="28" w:name="профиль"/>
    <w:p>
      <w:pPr>
        <w:pStyle w:val="Heading3"/>
      </w:pPr>
      <w:r>
        <w:t xml:space="preserve">3.9. Профиль</w:t>
      </w:r>
    </w:p>
    <w:p>
      <w:pPr>
        <w:pStyle w:val="Compact"/>
        <w:numPr>
          <w:ilvl w:val="0"/>
          <w:numId w:val="1019"/>
        </w:numPr>
      </w:pPr>
      <w:r>
        <w:t xml:space="preserve">Управление контактными данными.</w:t>
      </w:r>
    </w:p>
    <w:p>
      <w:pPr>
        <w:pStyle w:val="Compact"/>
        <w:numPr>
          <w:ilvl w:val="0"/>
          <w:numId w:val="1019"/>
        </w:numPr>
      </w:pPr>
      <w:r>
        <w:t xml:space="preserve">Управление безопасностью (биометрия, ОТП-канал).</w:t>
      </w:r>
    </w:p>
    <w:p>
      <w:pPr>
        <w:pStyle w:val="Compact"/>
        <w:numPr>
          <w:ilvl w:val="0"/>
          <w:numId w:val="1019"/>
        </w:numPr>
      </w:pPr>
      <w:r>
        <w:t xml:space="preserve">Управление согласиями.</w:t>
      </w:r>
    </w:p>
    <w:p>
      <w:pPr>
        <w:pStyle w:val="Compact"/>
        <w:numPr>
          <w:ilvl w:val="0"/>
          <w:numId w:val="1019"/>
        </w:numPr>
      </w:pPr>
      <w:r>
        <w:t xml:space="preserve">Реквизиты для выплат.</w:t>
      </w:r>
    </w:p>
    <w:bookmarkEnd w:id="28"/>
    <w:bookmarkStart w:id="29" w:name="помощь-и-поддержка"/>
    <w:p>
      <w:pPr>
        <w:pStyle w:val="Heading3"/>
      </w:pPr>
      <w:r>
        <w:t xml:space="preserve">3.10. Помощь и поддержка</w:t>
      </w:r>
    </w:p>
    <w:p>
      <w:pPr>
        <w:pStyle w:val="Compact"/>
        <w:numPr>
          <w:ilvl w:val="0"/>
          <w:numId w:val="1020"/>
        </w:numPr>
      </w:pPr>
      <w:r>
        <w:t xml:space="preserve">FAQ.</w:t>
      </w:r>
    </w:p>
    <w:p>
      <w:pPr>
        <w:pStyle w:val="Compact"/>
        <w:numPr>
          <w:ilvl w:val="0"/>
          <w:numId w:val="1020"/>
        </w:numPr>
      </w:pPr>
      <w:r>
        <w:t xml:space="preserve">Чат-бот.</w:t>
      </w:r>
    </w:p>
    <w:p>
      <w:pPr>
        <w:pStyle w:val="Compact"/>
        <w:numPr>
          <w:ilvl w:val="0"/>
          <w:numId w:val="1020"/>
        </w:numPr>
      </w:pPr>
      <w:r>
        <w:t xml:space="preserve">Связь с оператором поддержки.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первого экрана (cold start)</w:t>
            </w:r>
          </w:p>
        </w:tc>
        <w:tc>
          <w:tcPr/>
          <w:p>
            <w:pPr>
              <w:pStyle w:val="Compact"/>
            </w:pPr>
            <w:r>
              <w:t xml:space="preserve">≤ 2 сек на 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отклика UI</w:t>
            </w:r>
          </w:p>
        </w:tc>
        <w:tc>
          <w:tcPr/>
          <w:p>
            <w:pPr>
              <w:pStyle w:val="Compact"/>
            </w:pPr>
            <w:r>
              <w:t xml:space="preserve">≤ 100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приложения (install)</w:t>
            </w:r>
          </w:p>
        </w:tc>
        <w:tc>
          <w:tcPr/>
          <w:p>
            <w:pPr>
              <w:pStyle w:val="Compact"/>
            </w:pPr>
            <w:r>
              <w:t xml:space="preserve">≤ 80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iOS</w:t>
            </w:r>
          </w:p>
        </w:tc>
        <w:tc>
          <w:tcPr/>
          <w:p>
            <w:pPr>
              <w:pStyle w:val="Compact"/>
            </w:pPr>
            <w:r>
              <w:t xml:space="preserve">iOS 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Android</w:t>
            </w:r>
          </w:p>
        </w:tc>
        <w:tc>
          <w:tcPr/>
          <w:p>
            <w:pPr>
              <w:pStyle w:val="Compact"/>
            </w:pPr>
            <w:r>
              <w:t xml:space="preserve">Android 9 (API 28)+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Windows</w:t>
            </w:r>
          </w:p>
        </w:tc>
        <w:tc>
          <w:tcPr/>
          <w:p>
            <w:pPr>
              <w:pStyle w:val="Compact"/>
            </w:pPr>
            <w:r>
              <w:t xml:space="preserve">Windows 10 (1809)+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Языки интерфейса</w:t>
            </w:r>
          </w:p>
        </w:tc>
        <w:tc>
          <w:tcPr/>
          <w:p>
            <w:pPr>
              <w:pStyle w:val="Compact"/>
            </w:pPr>
            <w:r>
              <w:t xml:space="preserve">русский (основной), английский (вторичный)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Тёмная тема</w:t>
            </w:r>
          </w:p>
        </w:tc>
        <w:tc>
          <w:tcPr/>
          <w:p>
            <w:pPr>
              <w:pStyle w:val="Compact"/>
            </w:pPr>
            <w:r>
              <w:t xml:space="preserve">Поддерживается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VoiceOver / TalkBack / Narrator поддержка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Offline-режим</w:t>
            </w:r>
          </w:p>
        </w:tc>
        <w:tc>
          <w:tcPr/>
          <w:p>
            <w:pPr>
              <w:pStyle w:val="Compact"/>
            </w:pPr>
            <w:r>
              <w:t xml:space="preserve">Просмотр кешированных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релизный-план"/>
    <w:p>
      <w:pPr>
        <w:pStyle w:val="Heading2"/>
      </w:pPr>
      <w:r>
        <w:t xml:space="preserve">5. Релизный план</w:t>
      </w:r>
    </w:p>
    <w:bookmarkStart w:id="32" w:name="ios-android"/>
    <w:p>
      <w:pPr>
        <w:pStyle w:val="Heading3"/>
      </w:pPr>
      <w:r>
        <w:t xml:space="preserve">5.1. iOS / Android</w:t>
      </w:r>
    </w:p>
    <w:p>
      <w:pPr>
        <w:pStyle w:val="Compact"/>
        <w:numPr>
          <w:ilvl w:val="0"/>
          <w:numId w:val="1021"/>
        </w:numPr>
      </w:pPr>
      <w:r>
        <w:t xml:space="preserve">Бета-релиз через TestFlight / Google Play Internal Testing — месяц 10.</w:t>
      </w:r>
    </w:p>
    <w:p>
      <w:pPr>
        <w:pStyle w:val="Compact"/>
        <w:numPr>
          <w:ilvl w:val="0"/>
          <w:numId w:val="1021"/>
        </w:numPr>
      </w:pPr>
      <w:r>
        <w:t xml:space="preserve">Закрытое тестирование — месяц 12.</w:t>
      </w:r>
    </w:p>
    <w:p>
      <w:pPr>
        <w:pStyle w:val="Compact"/>
        <w:numPr>
          <w:ilvl w:val="0"/>
          <w:numId w:val="1021"/>
        </w:numPr>
      </w:pPr>
      <w:r>
        <w:t xml:space="preserve">Открытый запуск — месяц 18 (одновременно с платформой).</w:t>
      </w:r>
    </w:p>
    <w:p>
      <w:pPr>
        <w:pStyle w:val="Compact"/>
        <w:numPr>
          <w:ilvl w:val="0"/>
          <w:numId w:val="1021"/>
        </w:numPr>
      </w:pPr>
      <w:r>
        <w:t xml:space="preserve">Размещение в RuStore (Минцифры).</w:t>
      </w:r>
    </w:p>
    <w:bookmarkEnd w:id="32"/>
    <w:bookmarkStart w:id="33" w:name="windows-.net-maui"/>
    <w:p>
      <w:pPr>
        <w:pStyle w:val="Heading3"/>
      </w:pPr>
      <w:r>
        <w:t xml:space="preserve">5.2. Windows (.NET MAUI)</w:t>
      </w:r>
    </w:p>
    <w:p>
      <w:pPr>
        <w:pStyle w:val="Compact"/>
        <w:numPr>
          <w:ilvl w:val="0"/>
          <w:numId w:val="1022"/>
        </w:numPr>
      </w:pPr>
      <w:r>
        <w:t xml:space="preserve">Бета-релиз — месяц 14.</w:t>
      </w:r>
    </w:p>
    <w:p>
      <w:pPr>
        <w:pStyle w:val="Compact"/>
        <w:numPr>
          <w:ilvl w:val="0"/>
          <w:numId w:val="1022"/>
        </w:numPr>
      </w:pPr>
      <w:r>
        <w:t xml:space="preserve">Открытый запуск — месяц 18.</w:t>
      </w:r>
    </w:p>
    <w:p>
      <w:pPr>
        <w:pStyle w:val="Compact"/>
        <w:numPr>
          <w:ilvl w:val="0"/>
          <w:numId w:val="1022"/>
        </w:numPr>
      </w:pPr>
      <w:r>
        <w:t xml:space="preserve">Размещение в магазине Microsoft Store + альтернативные каналы.</w:t>
      </w:r>
    </w:p>
    <w:bookmarkEnd w:id="33"/>
    <w:bookmarkStart w:id="34" w:name="обновления"/>
    <w:p>
      <w:pPr>
        <w:pStyle w:val="Heading3"/>
      </w:pPr>
      <w:r>
        <w:t xml:space="preserve">5.3. Обновления</w:t>
      </w:r>
    </w:p>
    <w:p>
      <w:pPr>
        <w:pStyle w:val="Compact"/>
        <w:numPr>
          <w:ilvl w:val="0"/>
          <w:numId w:val="1023"/>
        </w:numPr>
      </w:pPr>
      <w:r>
        <w:t xml:space="preserve">Auto-update через стандартные сторы.</w:t>
      </w:r>
    </w:p>
    <w:p>
      <w:pPr>
        <w:pStyle w:val="Compact"/>
        <w:numPr>
          <w:ilvl w:val="0"/>
          <w:numId w:val="1023"/>
        </w:numPr>
      </w:pPr>
      <w:r>
        <w:t xml:space="preserve">Принудительные обновления для критичных уязвимостей через in-app механизм.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тестирование"/>
    <w:p>
      <w:pPr>
        <w:pStyle w:val="Heading2"/>
      </w:pPr>
      <w:r>
        <w:t xml:space="preserve">6. Тестирование</w:t>
      </w:r>
    </w:p>
    <w:bookmarkStart w:id="36" w:name="виды-тестирования"/>
    <w:p>
      <w:pPr>
        <w:pStyle w:val="Heading3"/>
      </w:pPr>
      <w:r>
        <w:t xml:space="preserve">6.1. Виды тестирования</w:t>
      </w:r>
    </w:p>
    <w:p>
      <w:pPr>
        <w:pStyle w:val="Compact"/>
        <w:numPr>
          <w:ilvl w:val="0"/>
          <w:numId w:val="1024"/>
        </w:numPr>
      </w:pPr>
      <w:r>
        <w:t xml:space="preserve">Unit-тесты (Jest для RN, MSTest для .NET MAUI) — покрытие ≥ 80%.</w:t>
      </w:r>
    </w:p>
    <w:p>
      <w:pPr>
        <w:pStyle w:val="Compact"/>
        <w:numPr>
          <w:ilvl w:val="0"/>
          <w:numId w:val="1024"/>
        </w:numPr>
      </w:pPr>
      <w:r>
        <w:t xml:space="preserve">Integration-тесты — критичные сценарии.</w:t>
      </w:r>
    </w:p>
    <w:p>
      <w:pPr>
        <w:pStyle w:val="Compact"/>
        <w:numPr>
          <w:ilvl w:val="0"/>
          <w:numId w:val="1024"/>
        </w:numPr>
      </w:pPr>
      <w:r>
        <w:t xml:space="preserve">E2E-тесты (Detox для RN, MAUI UITest) — основные пользовательские флоу.</w:t>
      </w:r>
    </w:p>
    <w:p>
      <w:pPr>
        <w:pStyle w:val="Compact"/>
        <w:numPr>
          <w:ilvl w:val="0"/>
          <w:numId w:val="1024"/>
        </w:numPr>
      </w:pPr>
      <w:r>
        <w:t xml:space="preserve">Performance-тесты на разных устройствах.</w:t>
      </w:r>
    </w:p>
    <w:p>
      <w:pPr>
        <w:pStyle w:val="Compact"/>
        <w:numPr>
          <w:ilvl w:val="0"/>
          <w:numId w:val="1024"/>
        </w:numPr>
      </w:pPr>
      <w:r>
        <w:t xml:space="preserve">Security-тесты (MAS-сканирование, manual penetration testing).</w:t>
      </w:r>
    </w:p>
    <w:p>
      <w:pPr>
        <w:pStyle w:val="Compact"/>
        <w:numPr>
          <w:ilvl w:val="0"/>
          <w:numId w:val="1024"/>
        </w:numPr>
      </w:pPr>
      <w:r>
        <w:t xml:space="preserve">Accessibility-тесты.</w:t>
      </w:r>
    </w:p>
    <w:bookmarkEnd w:id="36"/>
    <w:bookmarkStart w:id="37" w:name="парк-устройств"/>
    <w:p>
      <w:pPr>
        <w:pStyle w:val="Heading3"/>
      </w:pPr>
      <w:r>
        <w:t xml:space="preserve">6.2. Парк устройств</w:t>
      </w:r>
    </w:p>
    <w:p>
      <w:pPr>
        <w:pStyle w:val="Compact"/>
        <w:numPr>
          <w:ilvl w:val="0"/>
          <w:numId w:val="1025"/>
        </w:numPr>
      </w:pPr>
      <w:r>
        <w:t xml:space="preserve">iOS: iPhone 13 / 14 / 15 / 16; iPad 9-gen / Pro.</w:t>
      </w:r>
    </w:p>
    <w:p>
      <w:pPr>
        <w:pStyle w:val="Compact"/>
        <w:numPr>
          <w:ilvl w:val="0"/>
          <w:numId w:val="1025"/>
        </w:numPr>
      </w:pPr>
      <w:r>
        <w:t xml:space="preserve">Android: Samsung Galaxy S22+, Xiaomi Redmi Note 12, Realme C55 (бюджетный сегмент).</w:t>
      </w:r>
    </w:p>
    <w:p>
      <w:pPr>
        <w:pStyle w:val="Compact"/>
        <w:numPr>
          <w:ilvl w:val="0"/>
          <w:numId w:val="1025"/>
        </w:numPr>
      </w:pPr>
      <w:r>
        <w:t xml:space="preserve">Windows: Surface Pro 9, типовые рабочие станции.</w:t>
      </w:r>
    </w:p>
    <w:bookmarkEnd w:id="37"/>
    <w:bookmarkStart w:id="38" w:name="cicd"/>
    <w:p>
      <w:pPr>
        <w:pStyle w:val="Heading3"/>
      </w:pPr>
      <w:r>
        <w:t xml:space="preserve">6.3. CI/CD</w:t>
      </w:r>
    </w:p>
    <w:p>
      <w:pPr>
        <w:pStyle w:val="Compact"/>
        <w:numPr>
          <w:ilvl w:val="0"/>
          <w:numId w:val="1026"/>
        </w:numPr>
      </w:pPr>
      <w:r>
        <w:t xml:space="preserve">Сборка в защищённой среде с подписью УКЭП.</w:t>
      </w:r>
    </w:p>
    <w:p>
      <w:pPr>
        <w:pStyle w:val="Compact"/>
        <w:numPr>
          <w:ilvl w:val="0"/>
          <w:numId w:val="1026"/>
        </w:numPr>
      </w:pPr>
      <w:r>
        <w:t xml:space="preserve">Автоматическое тестирование на каждом merge.</w:t>
      </w:r>
    </w:p>
    <w:p>
      <w:pPr>
        <w:pStyle w:val="Compact"/>
        <w:numPr>
          <w:ilvl w:val="0"/>
          <w:numId w:val="1026"/>
        </w:numPr>
      </w:pPr>
      <w:r>
        <w:t xml:space="preserve">Релизные ветки + теги.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соответствие-магазинам-приложений"/>
    <w:p>
      <w:pPr>
        <w:pStyle w:val="Heading2"/>
      </w:pPr>
      <w:r>
        <w:t xml:space="preserve">7. Соответствие магазинам приложений</w:t>
      </w:r>
    </w:p>
    <w:bookmarkStart w:id="40" w:name="rustore-приоритет"/>
    <w:p>
      <w:pPr>
        <w:pStyle w:val="Heading3"/>
      </w:pPr>
      <w:r>
        <w:t xml:space="preserve">7.1. RuStore (приоритет)</w:t>
      </w:r>
    </w:p>
    <w:p>
      <w:pPr>
        <w:pStyle w:val="Compact"/>
        <w:numPr>
          <w:ilvl w:val="0"/>
          <w:numId w:val="1027"/>
        </w:numPr>
      </w:pPr>
      <w:r>
        <w:t xml:space="preserve">Полное соответствие требованиям RuStore.</w:t>
      </w:r>
    </w:p>
    <w:p>
      <w:pPr>
        <w:pStyle w:val="Compact"/>
        <w:numPr>
          <w:ilvl w:val="0"/>
          <w:numId w:val="1027"/>
        </w:numPr>
      </w:pPr>
      <w:r>
        <w:t xml:space="preserve">Подача в магазин в первые 90 дней после публичного запуска.</w:t>
      </w:r>
    </w:p>
    <w:bookmarkEnd w:id="40"/>
    <w:bookmarkStart w:id="41" w:name="app-store"/>
    <w:p>
      <w:pPr>
        <w:pStyle w:val="Heading3"/>
      </w:pPr>
      <w:r>
        <w:t xml:space="preserve">7.2. App Store</w:t>
      </w:r>
    </w:p>
    <w:p>
      <w:pPr>
        <w:pStyle w:val="Compact"/>
        <w:numPr>
          <w:ilvl w:val="0"/>
          <w:numId w:val="1028"/>
        </w:numPr>
      </w:pPr>
      <w:r>
        <w:t xml:space="preserve">Соответствие правилам Apple.</w:t>
      </w:r>
    </w:p>
    <w:p>
      <w:pPr>
        <w:pStyle w:val="Compact"/>
        <w:numPr>
          <w:ilvl w:val="0"/>
          <w:numId w:val="1028"/>
        </w:numPr>
      </w:pPr>
      <w:r>
        <w:t xml:space="preserve">Возможные ограничения по криптовалютам — ЦФА не являются криптовалютой; правила Apple про токенизированные финансовые активы — допускают, при наличии лицензии.</w:t>
      </w:r>
    </w:p>
    <w:bookmarkEnd w:id="41"/>
    <w:bookmarkStart w:id="42" w:name="google-play"/>
    <w:p>
      <w:pPr>
        <w:pStyle w:val="Heading3"/>
      </w:pPr>
      <w:r>
        <w:t xml:space="preserve">7.3. Google Play</w:t>
      </w:r>
    </w:p>
    <w:p>
      <w:pPr>
        <w:pStyle w:val="Compact"/>
        <w:numPr>
          <w:ilvl w:val="0"/>
          <w:numId w:val="1029"/>
        </w:numPr>
      </w:pPr>
      <w:r>
        <w:t xml:space="preserve">Соответствие политике Play.</w:t>
      </w:r>
    </w:p>
    <w:p>
      <w:pPr>
        <w:pStyle w:val="Compact"/>
        <w:numPr>
          <w:ilvl w:val="0"/>
          <w:numId w:val="1029"/>
        </w:numPr>
      </w:pPr>
      <w:r>
        <w:t xml:space="preserve">Подача в Финансовые приложения с подтверждением регистрации в РФ.</w:t>
      </w:r>
    </w:p>
    <w:bookmarkEnd w:id="42"/>
    <w:bookmarkStart w:id="43" w:name="microsoft-store"/>
    <w:p>
      <w:pPr>
        <w:pStyle w:val="Heading3"/>
      </w:pPr>
      <w:r>
        <w:t xml:space="preserve">7.4. Microsoft Store</w:t>
      </w:r>
    </w:p>
    <w:p>
      <w:pPr>
        <w:pStyle w:val="Compact"/>
        <w:numPr>
          <w:ilvl w:val="0"/>
          <w:numId w:val="1030"/>
        </w:numPr>
      </w:pPr>
      <w:r>
        <w:t xml:space="preserve">Соответствие политике Store.</w:t>
      </w:r>
    </w:p>
    <w:p>
      <w:pPr>
        <w:pStyle w:val="Compact"/>
        <w:numPr>
          <w:ilvl w:val="0"/>
          <w:numId w:val="1030"/>
        </w:numPr>
      </w:pPr>
      <w:r>
        <w:t xml:space="preserve">Категория Finance / Productivity.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локализация-и-доступность"/>
    <w:p>
      <w:pPr>
        <w:pStyle w:val="Heading2"/>
      </w:pPr>
      <w:r>
        <w:t xml:space="preserve">8. Локализация и доступность</w:t>
      </w:r>
    </w:p>
    <w:bookmarkStart w:id="45" w:name="локализация"/>
    <w:p>
      <w:pPr>
        <w:pStyle w:val="Heading3"/>
      </w:pPr>
      <w:r>
        <w:t xml:space="preserve">8.1. Локализация</w:t>
      </w:r>
    </w:p>
    <w:p>
      <w:pPr>
        <w:pStyle w:val="Compact"/>
        <w:numPr>
          <w:ilvl w:val="0"/>
          <w:numId w:val="1031"/>
        </w:numPr>
      </w:pPr>
      <w:r>
        <w:t xml:space="preserve">Основной язык: русский.</w:t>
      </w:r>
    </w:p>
    <w:p>
      <w:pPr>
        <w:pStyle w:val="Compact"/>
        <w:numPr>
          <w:ilvl w:val="0"/>
          <w:numId w:val="1031"/>
        </w:numPr>
      </w:pPr>
      <w:r>
        <w:t xml:space="preserve">Полная поддержка кириллицы во всех экранах.</w:t>
      </w:r>
    </w:p>
    <w:p>
      <w:pPr>
        <w:pStyle w:val="Compact"/>
        <w:numPr>
          <w:ilvl w:val="0"/>
          <w:numId w:val="1031"/>
        </w:numPr>
      </w:pPr>
      <w:r>
        <w:t xml:space="preserve">Локализация дат, чисел, валют.</w:t>
      </w:r>
    </w:p>
    <w:p>
      <w:pPr>
        <w:pStyle w:val="Compact"/>
        <w:numPr>
          <w:ilvl w:val="0"/>
          <w:numId w:val="1031"/>
        </w:numPr>
      </w:pPr>
      <w:r>
        <w:t xml:space="preserve">Английский язык — для интернациональной аудитории (опционально).</w:t>
      </w:r>
    </w:p>
    <w:bookmarkEnd w:id="45"/>
    <w:bookmarkStart w:id="46" w:name="доступность"/>
    <w:p>
      <w:pPr>
        <w:pStyle w:val="Heading3"/>
      </w:pPr>
      <w:r>
        <w:t xml:space="preserve">8.2. Доступность</w:t>
      </w:r>
    </w:p>
    <w:p>
      <w:pPr>
        <w:pStyle w:val="Compact"/>
        <w:numPr>
          <w:ilvl w:val="0"/>
          <w:numId w:val="1032"/>
        </w:numPr>
      </w:pPr>
      <w:r>
        <w:t xml:space="preserve">WCAG 2.2 AA.</w:t>
      </w:r>
    </w:p>
    <w:p>
      <w:pPr>
        <w:pStyle w:val="Compact"/>
        <w:numPr>
          <w:ilvl w:val="0"/>
          <w:numId w:val="1032"/>
        </w:numPr>
      </w:pPr>
      <w:r>
        <w:t xml:space="preserve">Голосовое управление через VoiceOver / TalkBack / Narrator.</w:t>
      </w:r>
    </w:p>
    <w:p>
      <w:pPr>
        <w:pStyle w:val="Compact"/>
        <w:numPr>
          <w:ilvl w:val="0"/>
          <w:numId w:val="1032"/>
        </w:numPr>
      </w:pPr>
      <w:r>
        <w:t xml:space="preserve">Динамическое увеличение шрифтов.</w:t>
      </w:r>
    </w:p>
    <w:p>
      <w:pPr>
        <w:pStyle w:val="Compact"/>
        <w:numPr>
          <w:ilvl w:val="0"/>
          <w:numId w:val="1032"/>
        </w:numPr>
      </w:pPr>
      <w:r>
        <w:t xml:space="preserve">Высокая контрастность.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соответствие-концепции-автора"/>
    <w:p>
      <w:pPr>
        <w:pStyle w:val="Heading2"/>
      </w:pPr>
      <w:r>
        <w:t xml:space="preserve">9. Соответствие концепции автора</w:t>
      </w:r>
    </w:p>
    <w:p>
      <w:pPr>
        <w:pStyle w:val="FirstParagraph"/>
      </w:pPr>
      <w:r>
        <w:t xml:space="preserve">Все ключевые сценарии исходной концепции автора реализованы в мобильном приложении: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Шаг исходной концепции</w:t>
            </w:r>
          </w:p>
        </w:tc>
        <w:tc>
          <w:tcPr/>
          <w:p>
            <w:pPr>
              <w:pStyle w:val="Compact"/>
            </w:pPr>
            <w:r>
              <w:t xml:space="preserve">Реализация в приложении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Регистрация владельца актива</w:t>
            </w:r>
          </w:p>
        </w:tc>
        <w:tc>
          <w:tcPr/>
          <w:p>
            <w:pPr>
              <w:pStyle w:val="Compact"/>
            </w:pPr>
            <w:r>
              <w:t xml:space="preserve">Экран регистрации с ЕСИА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Идентификация через государственный сервис</w:t>
            </w:r>
          </w:p>
        </w:tc>
        <w:tc>
          <w:tcPr/>
          <w:p>
            <w:pPr>
              <w:pStyle w:val="Compact"/>
            </w:pPr>
            <w:r>
              <w:t xml:space="preserve">ЕСИА + ЕБС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Подача актива на залог</w:t>
            </w:r>
          </w:p>
        </w:tc>
        <w:tc>
          <w:tcPr/>
          <w:p>
            <w:pPr>
              <w:pStyle w:val="Compact"/>
            </w:pPr>
            <w:r>
              <w:t xml:space="preserve">Раздел «Подать актив»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Раздел «Оценка» с уведомлением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Выпуск ЦФА</w:t>
            </w:r>
          </w:p>
        </w:tc>
        <w:tc>
          <w:tcPr/>
          <w:p>
            <w:pPr>
              <w:pStyle w:val="Compact"/>
            </w:pPr>
            <w:r>
              <w:t xml:space="preserve">Раздел «Смарт-контракт»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Условия смарт-контракта</w:t>
            </w:r>
          </w:p>
        </w:tc>
        <w:tc>
          <w:tcPr/>
          <w:p>
            <w:pPr>
              <w:pStyle w:val="Compact"/>
            </w:pPr>
            <w:r>
              <w:t xml:space="preserve">Конструктор условий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Согласие собственника</w:t>
            </w:r>
          </w:p>
        </w:tc>
        <w:tc>
          <w:tcPr/>
          <w:p>
            <w:pPr>
              <w:pStyle w:val="Compact"/>
            </w:pPr>
            <w:r>
              <w:t xml:space="preserve">Подписание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Залоговое имущество</w:t>
            </w:r>
          </w:p>
        </w:tc>
        <w:tc>
          <w:tcPr/>
          <w:p>
            <w:pPr>
              <w:pStyle w:val="Compact"/>
            </w:pPr>
            <w:r>
              <w:t xml:space="preserve">Информация об обременении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Эмиссия Банка России</w:t>
            </w:r>
          </w:p>
        </w:tc>
        <w:tc>
          <w:tcPr/>
          <w:p>
            <w:pPr>
              <w:pStyle w:val="Compact"/>
            </w:pPr>
            <w:r>
              <w:t xml:space="preserve">Уведомление о статусе ЦФА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Запрет на оборот ЦФА</w:t>
            </w:r>
          </w:p>
        </w:tc>
        <w:tc>
          <w:tcPr/>
          <w:p>
            <w:pPr>
              <w:pStyle w:val="Compact"/>
            </w:pPr>
            <w:r>
              <w:t xml:space="preserve">Информация в карточке ЦФА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Финансирование нацпроекта</w:t>
            </w:r>
          </w:p>
        </w:tc>
        <w:tc>
          <w:tcPr/>
          <w:p>
            <w:pPr>
              <w:pStyle w:val="Compact"/>
            </w:pPr>
            <w:r>
              <w:t xml:space="preserve">Привязка ЦФА к проекту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Реализация проекта</w:t>
            </w:r>
          </w:p>
        </w:tc>
        <w:tc>
          <w:tcPr/>
          <w:p>
            <w:pPr>
              <w:pStyle w:val="Compact"/>
            </w:pPr>
            <w:r>
              <w:t xml:space="preserve">Отслеживание этапа реализации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Свидетельство нового объекта</w:t>
            </w:r>
          </w:p>
        </w:tc>
        <w:tc>
          <w:tcPr/>
          <w:p>
            <w:pPr>
              <w:pStyle w:val="Compact"/>
            </w:pPr>
            <w:r>
              <w:t xml:space="preserve">Уведомление о подтверждении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Мена ЦФА</w:t>
            </w:r>
          </w:p>
        </w:tc>
        <w:tc>
          <w:tcPr/>
          <w:p>
            <w:pPr>
              <w:pStyle w:val="Compact"/>
            </w:pPr>
            <w:r>
              <w:t xml:space="preserve">Уведомление и подтверждение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Страховой случай</w:t>
            </w:r>
          </w:p>
        </w:tc>
        <w:tc>
          <w:tcPr/>
          <w:p>
            <w:pPr>
              <w:pStyle w:val="Compact"/>
            </w:pPr>
            <w:r>
              <w:t xml:space="preserve">Раздел «Страховые случаи»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Акт о взаиморасчётах</w:t>
            </w:r>
          </w:p>
        </w:tc>
        <w:tc>
          <w:tcPr/>
          <w:p>
            <w:pPr>
              <w:pStyle w:val="Compact"/>
            </w:pPr>
            <w:r>
              <w:t xml:space="preserve">Подписание 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Возврат имущества</w:t>
            </w:r>
          </w:p>
        </w:tc>
        <w:tc>
          <w:tcPr/>
          <w:p>
            <w:pPr>
              <w:pStyle w:val="Compact"/>
            </w:pPr>
            <w:r>
              <w:t xml:space="preserve">Уведомление и снятие обременения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Реинвестирование</w:t>
            </w:r>
          </w:p>
        </w:tc>
        <w:tc>
          <w:tcPr/>
          <w:p>
            <w:pPr>
              <w:pStyle w:val="Compact"/>
            </w:pPr>
            <w:r>
              <w:t xml:space="preserve">Опция продления контракта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Перманентное обременение</w:t>
            </w:r>
          </w:p>
        </w:tc>
        <w:tc>
          <w:tcPr/>
          <w:p>
            <w:pPr>
              <w:pStyle w:val="Compact"/>
            </w:pPr>
            <w:r>
              <w:t xml:space="preserve">Информация в карточке актива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связь-с-другими-документами"/>
    <w:p>
      <w:pPr>
        <w:pStyle w:val="Heading2"/>
      </w:pPr>
      <w:r>
        <w:t xml:space="preserve">10. Связь с другими документами</w:t>
      </w:r>
    </w:p>
    <w:p>
      <w:pPr>
        <w:pStyle w:val="Compact"/>
        <w:numPr>
          <w:ilvl w:val="0"/>
          <w:numId w:val="1033"/>
        </w:numPr>
      </w:pPr>
      <w:r>
        <w:t xml:space="preserve">Архитектура —</w:t>
      </w:r>
      <w:r>
        <w:t xml:space="preserve"> </w:t>
      </w:r>
      <w:r>
        <w:rPr>
          <w:rStyle w:val="VerbatimChar"/>
        </w:rPr>
        <w:t xml:space="preserve">01_Техническая_документация/01_Концепция_архитектуры.md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Функциональные требования —</w:t>
      </w:r>
      <w:r>
        <w:t xml:space="preserve"> </w:t>
      </w:r>
      <w:r>
        <w:rPr>
          <w:rStyle w:val="VerbatimChar"/>
        </w:rPr>
        <w:t xml:space="preserve">01_Техническая_документация/02_Функциональные_требования.md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Прототип —</w:t>
      </w:r>
      <w:r>
        <w:t xml:space="preserve"> </w:t>
      </w:r>
      <w:r>
        <w:rPr>
          <w:rStyle w:val="VerbatimChar"/>
        </w:rPr>
        <w:t xml:space="preserve">09_Мобильное_приложение/Прототип/index.html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Бренд-бук —</w:t>
      </w:r>
      <w:r>
        <w:t xml:space="preserve"> </w:t>
      </w:r>
      <w:r>
        <w:rPr>
          <w:rStyle w:val="VerbatimChar"/>
        </w:rPr>
        <w:t xml:space="preserve">05_Бренд-бук/Бренд-бук_ЦП_РСФСР.md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Дизайн-токены —</w:t>
      </w:r>
      <w:r>
        <w:t xml:space="preserve"> </w:t>
      </w:r>
      <w:r>
        <w:rPr>
          <w:rStyle w:val="VerbatimChar"/>
        </w:rPr>
        <w:t xml:space="preserve">05_Бренд-бук/Дизайн-токены.json</w:t>
      </w:r>
      <w:r>
        <w:t xml:space="preserve">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2026-05-23T20:40:16Z</dcterms:created>
  <dcterms:modified xsi:type="dcterms:W3CDTF">2026-05-23T20:40:16Z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