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Финансовая модель ЦП РСФСР — обоснование допущений</w:t>
      </w:r>
    </w:p>
    <w:p>
      <w:pPr>
        <w:jc w:val="both"/>
      </w:pPr>
      <w:r>
        <w:rPr>
          <w:b/>
        </w:rPr>
        <w:t>Документ:</w:t>
      </w:r>
      <w:r>
        <w:t xml:space="preserve"> сопроводительная записка к финансовой модели. </w:t>
      </w:r>
      <w:r>
        <w:rPr>
          <w:b/>
        </w:rPr>
        <w:t>Связанные файлы:</w:t>
      </w:r>
      <w:r>
        <w:t xml:space="preserve"> </w:t>
      </w:r>
      <w:r>
        <w:rPr>
          <w:rFonts w:ascii="Consolas" w:hAnsi="Consolas"/>
          <w:sz w:val="18"/>
        </w:rPr>
        <w:t>Финансовая_модель_ЦП_РСФСР.md</w:t>
      </w:r>
      <w:r>
        <w:t xml:space="preserve"> (сам расчёт), </w:t>
      </w:r>
      <w:r>
        <w:rPr>
          <w:rFonts w:ascii="Consolas" w:hAnsi="Consolas"/>
          <w:sz w:val="18"/>
        </w:rPr>
        <w:t>Модель/assumptions.json</w:t>
      </w:r>
      <w:r>
        <w:t xml:space="preserve"> (все входные величины), </w:t>
      </w:r>
      <w:r>
        <w:rPr>
          <w:rFonts w:ascii="Consolas" w:hAnsi="Consolas"/>
          <w:sz w:val="18"/>
        </w:rPr>
        <w:t>Модель/Выгрузка/*.csv</w:t>
      </w:r>
      <w:r>
        <w:t xml:space="preserve"> (машинная выгрузка). </w:t>
      </w:r>
      <w:r>
        <w:rPr>
          <w:b/>
        </w:rPr>
        <w:t>Автор концепта:</w:t>
      </w:r>
      <w:r>
        <w:t xml:space="preserve"> Кагиров А.-Х.А., свид. №4011265 от 19.12.2024 — фиксация даты приоритета и хеша; режим охраны — ноу-хау (ст. 1465 ГК) + программа для ЭВМ (ст. 1262 ГК). </w:t>
      </w:r>
      <w:r>
        <w:rPr>
          <w:b/>
        </w:rPr>
        <w:t>Редакция:</w:t>
      </w:r>
      <w:r>
        <w:t xml:space="preserve"> v5 от 07.09.2026.</w:t>
      </w:r>
    </w:p>
    <w:p>
      <w:pPr>
        <w:jc w:val="both"/>
      </w:pPr>
      <w:r>
        <w:t>Задача записки — показать, откуда взята каждая величина, и честно назвать то, что не обосновано ничем, кроме замысла автора.</w:t>
      </w:r>
    </w:p>
    <w:p>
      <w:pPr>
        <w:ind w:left="360"/>
      </w:pPr>
      <w:r>
        <w:rPr>
          <w:b/>
          <w:i/>
          <w:color w:val="444444"/>
        </w:rPr>
        <w:t>Расчёт отделён от текста.</w:t>
      </w:r>
      <w:r>
        <w:rPr>
          <w:i/>
          <w:color w:val="444444"/>
        </w:rPr>
        <w:t xml:space="preserve"> Числа живут в </w:t>
      </w:r>
      <w:r>
        <w:rPr>
          <w:rFonts w:ascii="Consolas" w:hAnsi="Consolas"/>
          <w:i/>
          <w:color w:val="444444"/>
          <w:sz w:val="18"/>
        </w:rPr>
        <w:t>Модель/assumptions.json</w:t>
      </w:r>
      <w:r>
        <w:rPr>
          <w:i/>
          <w:color w:val="444444"/>
        </w:rPr>
        <w:t xml:space="preserve"> и считаются движком </w:t>
      </w:r>
      <w:r>
        <w:rPr>
          <w:rFonts w:ascii="Consolas" w:hAnsi="Consolas"/>
          <w:i/>
          <w:color w:val="444444"/>
          <w:sz w:val="18"/>
        </w:rPr>
        <w:t>Модель/model.py</w:t>
      </w:r>
      <w:r>
        <w:rPr>
          <w:i/>
          <w:color w:val="444444"/>
        </w:rPr>
        <w:t>. Документы собираются из движка. Это сделано специально: в прежних редакциях цифры хранились в каждом документе отдельно и разошлись между собой.</w:t>
      </w:r>
    </w:p>
    <w:p>
      <w:pPr>
        <w:pStyle w:val="Heading2"/>
      </w:pPr>
      <w:r>
        <w:t>1. Рынок</w:t>
      </w:r>
    </w:p>
    <w:p>
      <w:pPr>
        <w:pStyle w:val="Heading3"/>
      </w:pPr>
      <w:r>
        <w:t>1.1. Залоговая ёмкость 25 трлн ₽</w:t>
      </w:r>
    </w:p>
    <w:p>
      <w:pPr>
        <w:jc w:val="both"/>
      </w:pPr>
      <w:r>
        <w:t>Источник — концепт автора.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Сегмент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Объём, трлн ₽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Вовлекаемая часть (10% активов × 50% стоимости), трлн ₽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Жилой фонд (4,7 млрд м² × 85 000 ₽/м²)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20,0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Коммерческая недвижимость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45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2,3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Земельные участки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62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3,1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Итого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507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25,4 ≈ 25</w:t>
            </w:r>
          </w:p>
        </w:tc>
      </w:tr>
    </w:tbl>
    <w:p/>
    <w:p>
      <w:pPr>
        <w:jc w:val="both"/>
      </w:pPr>
      <w:r>
        <w:t>Логика ограничения: в систему вовлекается только 10% активов, а для целей залога стоимость принимается на уровне 50% рыночной — это соответствует практике залоговых дисконтов.</w:t>
      </w:r>
    </w:p>
    <w:p>
      <w:pPr>
        <w:jc w:val="both"/>
      </w:pPr>
      <w:r>
        <w:rPr>
          <w:b/>
        </w:rPr>
        <w:t>Чем это не является.</w:t>
      </w:r>
      <w:r>
        <w:t xml:space="preserve"> Это оценка потенциальной ёмкости, а не спроса. Ни одного подтверждения, что собственники готовы закладывать имущество на этих условиях, в проекте нет. Проверка спроса — первое, что следует сделать до любых переговоров о деньгах.</w:t>
      </w:r>
    </w:p>
    <w:p>
      <w:pPr>
        <w:pStyle w:val="Heading3"/>
      </w:pPr>
      <w:r>
        <w:t>1.2. Индексация ёмкости 4% в год</w:t>
      </w:r>
    </w:p>
    <w:p>
      <w:pPr>
        <w:jc w:val="both"/>
      </w:pPr>
      <w:r>
        <w:t>Целевой ориентир Банка России по инфляции. Реального роста рынка в модели нет — только переоценка.</w:t>
      </w:r>
    </w:p>
    <w:p>
      <w:pPr>
        <w:pStyle w:val="Heading3"/>
      </w:pPr>
      <w:r>
        <w:t>1.3. Траектория доли платформы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Год модели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1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3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4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5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6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7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8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9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10</w:t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Календарный год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2027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2028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2029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2030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2031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2032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2033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2034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2035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2036</w:t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Доля рынка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0%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0,4%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1,8%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4,4%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8,8%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10,8%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12,6%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14,4%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16,2%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18%</w:t>
            </w:r>
          </w:p>
        </w:tc>
      </w:tr>
    </w:tbl>
    <w:p/>
    <w:p>
      <w:pPr>
        <w:jc w:val="both"/>
      </w:pPr>
      <w:r>
        <w:t>Целевая доля года 10 снижена автором с 20% до 18% по итогам аудита 2026 года. Консервативный сценарий — 7%, оптимистичный — 25%.</w:t>
      </w:r>
    </w:p>
    <w:p>
      <w:pPr>
        <w:jc w:val="both"/>
      </w:pPr>
      <w:r>
        <w:rPr>
          <w:b/>
        </w:rPr>
        <w:t>Это главное непроверенное допущение модели.</w:t>
      </w:r>
      <w:r>
        <w:t xml:space="preserve"> Оно не опирается ни на пилот, ни на договоры, ни на сопоставимый проект. Вся остальная арифметика — производная от этой строки. При обсуждении с инвестором разговор должен начинаться отсюда, а не с итоговой стоимости.</w:t>
      </w:r>
    </w:p>
    <w:p>
      <w:pPr>
        <w:pStyle w:val="Heading3"/>
      </w:pPr>
      <w:r>
        <w:t>1.4. Начало горизонта — 2027 год</w:t>
      </w:r>
    </w:p>
    <w:p>
      <w:pPr>
        <w:jc w:val="both"/>
      </w:pPr>
      <w:r>
        <w:t>Прежняя редакция начинала отсчёт с 2025 года и предполагала выпуск ЦФА на 104 млрд ₽ уже в 2026 году. На дату настоящей редакции нет ни лицензии оператора информационной системы, ни принятой нормативной базы, ни одного выпуска. Поэтому горизонт сдвинут: 2027 — подготовка, 2028 — первые выпуски.</w:t>
      </w:r>
    </w:p>
    <w:p>
      <w:pPr>
        <w:jc w:val="both"/>
      </w:pPr>
      <w:r>
        <w:t>Цена этого сдвига видна в расчёте: каждый год задержки убирает около четверти стоимости бизнеса.</w:t>
      </w:r>
    </w:p>
    <w:p>
      <w:pPr>
        <w:pStyle w:val="Heading3"/>
      </w:pPr>
      <w:r>
        <w:t>1.5. Обращаемый стек</w:t>
      </w:r>
    </w:p>
    <w:p>
      <w:pPr>
        <w:jc w:val="both"/>
      </w:pPr>
      <w:r>
        <w:t>Стек года t = сумма выпусков за годы t−4…t. Средний срок жизни выпуска — 5 лет, что соответствует длительности инфраструктурных циклов.</w:t>
      </w:r>
    </w:p>
    <w:p>
      <w:pPr>
        <w:pStyle w:val="Heading2"/>
      </w:pPr>
      <w:r>
        <w:t>2. Тарифы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Линия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Ставка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Ориентир рынка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Комиссия за выпуск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0,50%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операторы ЦФА в РФ: 0,1–1%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Сервисная комиссия от стека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0,30%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депозитарии 0,05–0,15%; управляющие компании 1–2%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Платформенный сбор (автоматическая оценка)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0,15%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оценочные компании 0,1–0,5%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Лицензии B2B2G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от 0 до 0,15%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линейный рост по годам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Технологические интеграции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50–1 150 млн ₽/год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10–50 млн ₽ за подключение партнёра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Оценка и страхование, валовый тариф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0,80%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страховые премии 0,3–0,8%</w:t>
            </w:r>
          </w:p>
        </w:tc>
      </w:tr>
    </w:tbl>
    <w:p/>
    <w:p>
      <w:pPr>
        <w:pStyle w:val="Heading3"/>
      </w:pPr>
      <w:r>
        <w:t>2.1. Почему оценка и страхование учтены нетто</w:t>
      </w:r>
    </w:p>
    <w:p>
      <w:pPr>
        <w:jc w:val="both"/>
      </w:pPr>
      <w:r>
        <w:t>Платформа в этой линии выступает агентом: собирает 0,8% от объёма и передаёт оценщикам и страховщикам 85% собранного. Собственная маржа — 0,12% от объёма. Именно она попадает в выручку; валовые сборы показаны отдельной справочной строкой.</w:t>
      </w:r>
    </w:p>
    <w:p>
      <w:pPr>
        <w:jc w:val="both"/>
      </w:pPr>
      <w:r>
        <w:t>В прежней редакции вся сумма 0,8% числилась выручкой платформы. В 2034 году это давало 51 240 млн ₽ — больше трети всей заявленной выручки — при том, что встречные издержки в расходы не попадали. Пометка «pass-through, 85% — встречные издержки» в записке к модели была, но в расчёт не переносилась.</w:t>
      </w:r>
    </w:p>
    <w:p>
      <w:pPr>
        <w:pStyle w:val="Heading3"/>
      </w:pPr>
      <w:r>
        <w:t>2.2. Тарифы не индексируются</w:t>
      </w:r>
    </w:p>
    <w:p>
      <w:pPr>
        <w:jc w:val="both"/>
      </w:pPr>
      <w:r>
        <w:t>Сознательное упрощение в пользу консерватизма: рост выручки обеспечивается только ростом объёмов.</w:t>
      </w:r>
    </w:p>
    <w:p>
      <w:pPr>
        <w:pStyle w:val="Heading2"/>
      </w:pPr>
      <w:r>
        <w:t>3. Капитальные вложения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Год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млн ₽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Назначение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2027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300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Ядро платформы, модули оценки и регистрации обременения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2028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420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Центры обработки данных, лицензии, запуск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2029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Платформенная зрелость, инфраструктура правового режима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2030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550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Развёртывание реестра операторов информационных систем (779-П)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2031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1 800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Сертификация ФСТЭК/ФСБ, второй центр обработки данных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2032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2 400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Масштабирование: третий центр, криптомодули нового поколения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2033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1 600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Плановая модернизация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2034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1 800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Обновление платформы распределённого реестра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2035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2 300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Расширение инфраструктуры под стек свыше 20 трлн ₽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2036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2 000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Плановая модернизация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Итого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13 570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</w:p>
        </w:tc>
      </w:tr>
    </w:tbl>
    <w:p/>
    <w:p>
      <w:pPr>
        <w:jc w:val="both"/>
      </w:pPr>
      <w:r>
        <w:t>За первые 18 месяцев — 720 млн ₽. Срок амортизации 7 лет, линейно.</w:t>
      </w:r>
    </w:p>
    <w:p>
      <w:pPr>
        <w:ind w:left="360"/>
      </w:pPr>
      <w:r>
        <w:rPr>
          <w:i/>
          <w:color w:val="444444"/>
        </w:rPr>
        <w:t>В прежней редакции бизнес-плана указывалось «совокупный CapEx за 10 лет — 1 300 млн ₽» при том, что таблица самой модели давала 13 570 млн ₽. Ошибка ровно в десять раз.</w:t>
      </w:r>
    </w:p>
    <w:p>
      <w:pPr>
        <w:pStyle w:val="Heading2"/>
      </w:pPr>
      <w:r>
        <w:t>4. Операционные расходы</w:t>
      </w:r>
    </w:p>
    <w:p>
      <w:pPr>
        <w:jc w:val="both"/>
      </w:pPr>
      <w:r>
        <w:t>Расходы собираются из двух частей.</w:t>
      </w:r>
    </w:p>
    <w:p>
      <w:pPr>
        <w:jc w:val="both"/>
      </w:pPr>
      <w:r>
        <w:rPr>
          <w:b/>
        </w:rPr>
        <w:t>Фонд оплаты труда</w:t>
      </w:r>
      <w:r>
        <w:t xml:space="preserve"> = численность на конец года × средний оклад × 12 × 1,30 (страховые взносы 30%). Численность 40 → 370 человек, оклад первого года 350 тыс. ₽ в месяц, индексация 6% в год.</w:t>
      </w:r>
    </w:p>
    <w:p>
      <w:pPr>
        <w:jc w:val="both"/>
      </w:pPr>
      <w:r>
        <w:rPr>
          <w:b/>
        </w:rPr>
        <w:t>Прочие расходы</w:t>
      </w:r>
      <w:r>
        <w:t xml:space="preserve"> = базовая часть 502 млн ₽ с индексацией 4% в год + переменная часть 22% выручки.</w:t>
      </w:r>
    </w:p>
    <w:p>
      <w:pPr>
        <w:jc w:val="both"/>
      </w:pPr>
      <w:r>
        <w:t>Базовая часть первого года разложена так: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Статья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млн ₽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Инфраструктура (хостинг, связь, информационная безопасность)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117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Лицензии программного обеспечения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50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Маркетинг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60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Юридическое сопровождение и аудит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70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Кибербезопасность (центр мониторинга, тесты на проникновение)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50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Интеграторы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95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Прочее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60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Итого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502</w:t>
            </w:r>
          </w:p>
        </w:tc>
      </w:tr>
    </w:tbl>
    <w:p/>
    <w:p>
      <w:pPr>
        <w:jc w:val="both"/>
      </w:pPr>
      <w:r>
        <w:t>Переменные 22% выручки покрывают эквайринг, инфраструктуру под нагрузкой, комплаенс, юридическое сопровождение объёма и привлечение клиентов. Величина подобрана так, чтобы маржа зрелого года легла на уровень сопоставимых инфраструктурных операторов (65–75%). Итог — 75,1% в 2036 году.</w:t>
      </w:r>
    </w:p>
    <w:p>
      <w:pPr>
        <w:ind w:left="360"/>
      </w:pPr>
      <w:r>
        <w:rPr>
          <w:i/>
          <w:color w:val="444444"/>
        </w:rPr>
        <w:t>В прежней редакции фонд оплаты труда не выводился из численности: строка 2029 года соответствовала штату примерно вдвое больше заявленного, а строка 2026 года — вдвое меньше. При этом общая сумма расходов второго года (820 млн ₽) не покрывала даже фонд оплаты труда заявленных 120 человек (695 млн ₽), оставляя на всё остальное 125 млн ₽ против 502 млн ₽ годом ранее.</w:t>
      </w:r>
    </w:p>
    <w:p>
      <w:pPr>
        <w:jc w:val="both"/>
      </w:pPr>
      <w:r>
        <w:rPr>
          <w:b/>
        </w:rPr>
        <w:t>Чего в расходах нет.</w:t>
      </w:r>
      <w:r>
        <w:t xml:space="preserve"> Отдельной строки на привлечение клиента; требований к собственным средствам оператора информационной системы; резервов. Это ограничение модели, а не вывод о том, что таких расходов не будет.</w:t>
      </w:r>
    </w:p>
    <w:p>
      <w:pPr>
        <w:pStyle w:val="Heading2"/>
      </w:pPr>
      <w:r>
        <w:t>5. Налоги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Значение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Основание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Налог на прибыль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25%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176-ФЗ от 12.07.2024, действует с 01.01.2025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Перенос убытков прошлых лет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до 50% налоговой базы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ст. 283 НК РФ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Страховые взносы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30%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гл. 34 НК РФ</w:t>
            </w:r>
          </w:p>
        </w:tc>
      </w:tr>
    </w:tbl>
    <w:p/>
    <w:p>
      <w:pPr>
        <w:jc w:val="both"/>
      </w:pPr>
      <w:r>
        <w:t>Прежние редакции использовали ставку 20% — она перестала действовать с 2025 года.</w:t>
      </w:r>
    </w:p>
    <w:p>
      <w:pPr>
        <w:jc w:val="both"/>
      </w:pPr>
      <w:r>
        <w:t xml:space="preserve">Льгота по налогу на прибыль для аккредитованных ИТ-организаций и пониженные страховые взносы в базовый сценарий </w:t>
      </w:r>
      <w:r>
        <w:rPr>
          <w:b/>
        </w:rPr>
        <w:t>не заложены</w:t>
      </w:r>
      <w:r>
        <w:t>: это потенциал, а не допущение.</w:t>
      </w:r>
    </w:p>
    <w:p>
      <w:pPr>
        <w:jc w:val="both"/>
      </w:pPr>
      <w:r>
        <w:rPr>
          <w:b/>
        </w:rPr>
        <w:t>НДС.</w:t>
      </w:r>
      <w:r>
        <w:t xml:space="preserve"> Операции с ЦФА налогом на добавленную стоимость не облагаются: цифровые финансовые активы отнесены к ценным бумагам, а реализация ценных бумаг освобождена от НДС (пп. 12 п. 2 ст. 149 НК РФ). Позиция подтверждена владельцем проекта 07.09.2026.</w:t>
      </w:r>
    </w:p>
    <w:p>
      <w:pPr>
        <w:pStyle w:val="Heading2"/>
      </w:pPr>
      <w:r>
        <w:t>6. Ставка дисконтирования</w:t>
      </w:r>
    </w:p>
    <w:p>
      <w:pPr>
        <w:jc w:val="both"/>
      </w:pPr>
      <w:r>
        <w:t>Метод построения — суммирование премий за риск к безрисковой ставке в рублях.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Компонента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Значение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Источник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Безрисковая ставка (10Y ОФЗ)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14,73%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рыночные данные на 21.05.2026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Премия за рыночный риск × бета (8,13% × 1,15)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9,35%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Damodaran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Премия за стадию проекта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2,50%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IPEV Guidelines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Премия за неликвидность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3,00%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IPEV Guidelines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Итого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29,58%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</w:p>
        </w:tc>
      </w:tr>
    </w:tbl>
    <w:p/>
    <w:p>
      <w:pPr>
        <w:jc w:val="both"/>
      </w:pPr>
      <w:r>
        <w:t>Страновая премия отдельно не добавляется: она уже содержится в рублёвой безрисковой ставке. Добавление её вторым слоем было бы двойным счётом.</w:t>
      </w:r>
    </w:p>
    <w:p>
      <w:pPr>
        <w:jc w:val="both"/>
      </w:pPr>
      <w:r>
        <w:t>Защитимый интервал — 27–33%; он и взят в качестве диапазона чувствительности.</w:t>
      </w:r>
    </w:p>
    <w:p>
      <w:pPr>
        <w:ind w:left="360"/>
      </w:pPr>
      <w:r>
        <w:rPr>
          <w:i/>
          <w:color w:val="444444"/>
        </w:rPr>
        <w:t>В прежней редакции этот же расчёт приводился в двух документах с разными компонентами (2,5% + 3,0% против 1,5% + 2,5%) и с разной премией за рыночный риск (8,13% против 9%), а в одном месте прямо говорилось «в базовом сценарии используется 30%». Итоговая цифра при этом везде указывалась как 29,5%.</w:t>
      </w:r>
    </w:p>
    <w:p>
      <w:pPr>
        <w:pStyle w:val="Heading2"/>
      </w:pPr>
      <w:r>
        <w:t>7. Терминальная стоимость</w:t>
      </w:r>
    </w:p>
    <w:p>
      <w:pPr>
        <w:jc w:val="both"/>
      </w:pPr>
      <w:r>
        <w:t>Один метод — модель Гордона на нормализованном денежном потоке:</w:t>
      </w:r>
    </w:p>
    <w:p>
      <w:pPr>
        <w:pStyle w:val="ListBullet"/>
      </w:pPr>
      <w:r>
        <w:t>капитальные вложения в стационарном состоянии приравнены к амортизации;</w:t>
      </w:r>
    </w:p>
    <w:p>
      <w:pPr>
        <w:pStyle w:val="ListBullet"/>
      </w:pPr>
      <w:r>
        <w:t>прирост оборотного капитала равен темпу роста, умноженному на оборотный капитал;</w:t>
      </w:r>
    </w:p>
    <w:p>
      <w:pPr>
        <w:pStyle w:val="ListBullet"/>
      </w:pPr>
      <w:r>
        <w:t>темп роста g = 4% — номинальный, равный целевой инфляции, то есть нулевой реальный рост.</w:t>
      </w:r>
    </w:p>
    <w:p>
      <w:pPr>
        <w:jc w:val="both"/>
      </w:pPr>
      <w:r>
        <w:t>Доля терминальной стоимости в оценке — 38%. Это в пределах нормы для растущей инфраструктурной компании, но у верхней границы; при обсуждении с инвестором эту долю следует называть прямо.</w:t>
      </w:r>
    </w:p>
    <w:p>
      <w:pPr>
        <w:ind w:left="360"/>
      </w:pPr>
      <w:r>
        <w:rPr>
          <w:i/>
          <w:color w:val="444444"/>
        </w:rPr>
        <w:t>Прежние редакции использовали одновременно три несовместимых подхода: одностадийную модель Гордона с g=2% в финмодели, трёхстадийную модель в расчётной таблице и g=4% в бизнес-плане. Разбор от 10.06.2026 признал, что терминальная стоимость была занижена примерно втрое, но исправление внесли только в текст, а не в расчёт.</w:t>
      </w:r>
    </w:p>
    <w:p>
      <w:pPr>
        <w:pStyle w:val="Heading2"/>
      </w:pPr>
      <w:r>
        <w:t>8. Оборотный капитал</w:t>
      </w:r>
    </w:p>
    <w:p>
      <w:pPr>
        <w:jc w:val="both"/>
      </w:pPr>
      <w:r>
        <w:t>5% от выручки — обычное допущение для финансовых операторов (платёжные системы в РФ 3–7%, депозитарии 5–10%).</w:t>
      </w:r>
    </w:p>
    <w:p>
      <w:pPr>
        <w:pStyle w:val="Heading2"/>
      </w:pPr>
      <w:r>
        <w:t>9. Чувствительность и имитация</w:t>
      </w:r>
    </w:p>
    <w:p>
      <w:pPr>
        <w:jc w:val="both"/>
      </w:pPr>
      <w:r>
        <w:t>Рассчитываются программно:</w:t>
      </w:r>
    </w:p>
    <w:p>
      <w:pPr>
        <w:pStyle w:val="ListBullet"/>
      </w:pPr>
      <w:r>
        <w:t>ставка дисконтирования × доля рынка (сетка 5 × 5);</w:t>
      </w:r>
    </w:p>
    <w:p>
      <w:pPr>
        <w:pStyle w:val="ListBullet"/>
      </w:pPr>
      <w:r>
        <w:t>отклонение операционных расходов от −10% до +30%;</w:t>
      </w:r>
    </w:p>
    <w:p>
      <w:pPr>
        <w:pStyle w:val="ListBullet"/>
      </w:pPr>
      <w:r>
        <w:t>задержка запуска на 0/1/2/3 года;</w:t>
      </w:r>
    </w:p>
    <w:p>
      <w:pPr>
        <w:pStyle w:val="ListBullet"/>
      </w:pPr>
      <w:r>
        <w:t>имитационное моделирование, 2 000 итераций, генератор с фиксированным зерном — результат воспроизводим.</w:t>
      </w:r>
    </w:p>
    <w:p>
      <w:pPr>
        <w:jc w:val="both"/>
      </w:pPr>
      <w:r>
        <w:t>Главный вывод чувствительности: расходы почти не влияют на стоимость (рост на 30% меняет её на 8%), а сроки влияют решающе (год задержки — минус четверть стоимости).</w:t>
      </w:r>
    </w:p>
    <w:p>
      <w:pPr>
        <w:ind w:left="360"/>
      </w:pPr>
      <w:r>
        <w:rPr>
          <w:i/>
          <w:color w:val="444444"/>
        </w:rPr>
        <w:t>Прежние редакции приводили результаты имитационного моделирования — медиану 94 млрд ₽, интервал P10–P90 42–168 млрд ₽, вероятность отрицательной стоимости 4,2% — при том, что расчёта не существовало; в двух документах эти же величины отличались (медиана 91 против 94). Теперь имитация действительно выполняется, и её медиана составляет 39,2 млрд ₽: она учитывает вероятность задержки запуска, которой в прежних оценках не было.</w:t>
      </w:r>
    </w:p>
    <w:p>
      <w:pPr>
        <w:pStyle w:val="Heading2"/>
      </w:pPr>
      <w:r>
        <w:t>10. Что в модели не учтено и почему</w:t>
      </w:r>
    </w:p>
    <w:p>
      <w:pPr>
        <w:pStyle w:val="ListNumber"/>
      </w:pPr>
      <w:r>
        <w:rPr>
          <w:b/>
        </w:rPr>
        <w:t>Государственные субсидии</w:t>
      </w:r>
      <w:r>
        <w:t xml:space="preserve"> — потенциал, не допущение.</w:t>
      </w:r>
    </w:p>
    <w:p>
      <w:pPr>
        <w:pStyle w:val="ListNumber"/>
      </w:pPr>
      <w:r>
        <w:rPr>
          <w:b/>
        </w:rPr>
        <w:t>Долговое финансирование</w:t>
      </w:r>
      <w:r>
        <w:t xml:space="preserve"> — модель только на акционерном капитале; смешанная структура дала бы налоговый щит.</w:t>
      </w:r>
    </w:p>
    <w:p>
      <w:pPr>
        <w:pStyle w:val="ListNumber"/>
      </w:pPr>
      <w:r>
        <w:rPr>
          <w:b/>
        </w:rPr>
        <w:t>Валютный риск</w:t>
      </w:r>
      <w:r>
        <w:t xml:space="preserve"> — все потоки в рублях.</w:t>
      </w:r>
    </w:p>
    <w:p>
      <w:pPr>
        <w:pStyle w:val="ListNumber"/>
      </w:pPr>
      <w:r>
        <w:rPr>
          <w:b/>
        </w:rPr>
        <w:t>Конкуренция за залог</w:t>
      </w:r>
      <w:r>
        <w:t xml:space="preserve"> — базовый сценарий предполагает уникальность категории в первые годы; риск покрыт консервативным сценарием.</w:t>
      </w:r>
    </w:p>
    <w:p>
      <w:pPr>
        <w:pStyle w:val="ListNumber"/>
      </w:pPr>
      <w:r>
        <w:rPr>
          <w:b/>
        </w:rPr>
        <w:t>Отказ регулятора</w:t>
      </w:r>
      <w:r>
        <w:t xml:space="preserve"> — раскрыт в </w:t>
      </w:r>
      <w:r>
        <w:rPr>
          <w:rFonts w:ascii="Consolas" w:hAnsi="Consolas"/>
          <w:sz w:val="18"/>
        </w:rPr>
        <w:t>04_Бизнес-план/Wedge_pilot-light.md</w:t>
      </w:r>
      <w:r>
        <w:t>; в этом случае применим консервативный сценарий (стоимость бизнеса 20,1 млрд ₽).</w:t>
      </w:r>
    </w:p>
    <w:p>
      <w:pPr>
        <w:pStyle w:val="ListNumber"/>
      </w:pPr>
      <w:r>
        <w:rPr>
          <w:b/>
        </w:rPr>
        <w:t>Требования к собственным средствам оператора информационной системы</w:t>
      </w:r>
      <w:r>
        <w:t xml:space="preserve"> — не смоделированы, требуют проверки по 259-ФЗ и нормативным актам Банка России.</w:t>
      </w:r>
    </w:p>
    <w:p>
      <w:pPr>
        <w:pStyle w:val="ListNumber"/>
      </w:pPr>
      <w:r>
        <w:rPr>
          <w:b/>
        </w:rPr>
        <w:t>Стоимость привлечения клиента</w:t>
      </w:r>
      <w:r>
        <w:t xml:space="preserve"> — не выделена отдельной строкой.</w:t>
      </w:r>
    </w:p>
    <w:p>
      <w:pPr>
        <w:pStyle w:val="Heading2"/>
      </w:pPr>
      <w:r>
        <w:t>11. Источники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Данные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Источник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Залоговая ёмкость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концепт автора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Жилой фонд РФ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Росстат, форма №1-жилфонд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Налоговые ставки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НК РФ, 176-ФЗ от 12.07.2024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Целевая инфляция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Основные направления денежно-кредитной политики Банка России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Ключевая ставка 14,5%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решение Совета директоров Банка России от 24.04.2026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Курс 71,55 ₽/$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официальный курс Банка России на 26.05.2026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Премия за рыночный риск, бета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Damodaran Online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Ориентиры окладов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открытые обзоры рынка труда 2024–2026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Ориентиры капитальных вложений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открытые презентации российских финансовых платформ</w:t>
            </w:r>
          </w:p>
        </w:tc>
      </w:tr>
    </w:tbl>
    <w:p/>
    <w:p>
      <w:pPr>
        <w:jc w:val="both"/>
      </w:pPr>
      <w:r>
        <w:t>Макроэкономический блок зафиксирован на май 2026 года и требует обновления на дату переговоров.</w:t>
      </w:r>
    </w:p>
    <w:p>
      <w:pPr>
        <w:jc w:val="both"/>
      </w:pPr>
      <w:r>
        <w:rPr>
          <w:b/>
        </w:rPr>
        <w:t>Редакция v5 · 07.09.2026.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