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النموذج المالي لـ CP RSFSR — أساس الافتراضات</w:t>
      </w:r>
    </w:p>
    <w:p>
      <w:pPr>
        <w:ind w:left="360"/>
      </w:pPr>
      <w:r>
        <w:rPr>
          <w:b/>
          <w:i/>
          <w:color w:val="444444"/>
        </w:rPr>
        <w:t>ملاحظة.</w:t>
      </w:r>
      <w:r>
        <w:rPr>
          <w:i/>
          <w:color w:val="444444"/>
        </w:rPr>
        <w:t xml:space="preserve"> هذه ترجمة عن الأصل الروسي. وعند أي اختلاف في الصياغة يُعتد بالنسخة الروسية. وجميع الأرقام مأخوذة من المحرك الحسابي نفسه.</w:t>
      </w:r>
    </w:p>
    <w:p>
      <w:pPr>
        <w:jc w:val="both"/>
      </w:pPr>
      <w:r>
        <w:rPr>
          <w:b/>
        </w:rPr>
        <w:t>الوثيقة:</w:t>
      </w:r>
      <w:r>
        <w:t xml:space="preserve"> مذكّرة إيضاحية مرافقة للنموذج المالي. </w:t>
      </w:r>
      <w:r>
        <w:rPr>
          <w:b/>
        </w:rPr>
        <w:t>الملفات ذات الصلة:</w:t>
      </w:r>
      <w:r>
        <w:t xml:space="preserve"> </w:t>
      </w:r>
      <w:r>
        <w:rPr>
          <w:rFonts w:ascii="Consolas" w:hAnsi="Consolas"/>
          <w:sz w:val="18"/>
        </w:rPr>
        <w:t>Финансовая_модель_ЦП_РСФСР.md</w:t>
      </w:r>
      <w:r>
        <w:t xml:space="preserve"> (الحساب نفسه)، </w:t>
      </w:r>
      <w:r>
        <w:rPr>
          <w:rFonts w:ascii="Consolas" w:hAnsi="Consolas"/>
          <w:sz w:val="18"/>
        </w:rPr>
        <w:t>Модель/assumptions.json</w:t>
      </w:r>
      <w:r>
        <w:t xml:space="preserve"> (جميع قيم الإدخال)، </w:t>
      </w:r>
      <w:r>
        <w:rPr>
          <w:rFonts w:ascii="Consolas" w:hAnsi="Consolas"/>
          <w:sz w:val="18"/>
        </w:rPr>
        <w:t>Модель/Выгрузка/*.csv</w:t>
      </w:r>
      <w:r>
        <w:t xml:space="preserve"> (التصدير الآلي). </w:t>
      </w:r>
      <w:r>
        <w:rPr>
          <w:b/>
        </w:rPr>
        <w:t>مؤلف المفهوم:</w:t>
      </w:r>
      <w:r>
        <w:t xml:space="preserve"> كاغيروف أ.-خ.أ.، شهادة إيداع رقم 4011265 بتاريخ 19.12.2024 — تثبيت تاريخ الأولوية والبصمة؛ نظام الحماية: معرفة فنية (المادة 1465 من القانون المدني) وبرنامج حاسوب (المادة 1262 من القانون المدني). </w:t>
      </w:r>
      <w:r>
        <w:rPr>
          <w:b/>
        </w:rPr>
        <w:t>الإصدار:</w:t>
      </w:r>
      <w:r>
        <w:t xml:space="preserve"> v5 بتاريخ 07.09.2026.</w:t>
      </w:r>
    </w:p>
    <w:p>
      <w:pPr>
        <w:jc w:val="both"/>
      </w:pPr>
      <w:r>
        <w:t>الغرض من هذه المذكّرة بيان مصدر كل قيمة، والتسمية الصريحة لما لا يستند إلا إلى تصوّر المؤلف.</w:t>
      </w:r>
    </w:p>
    <w:p>
      <w:pPr>
        <w:ind w:left="360"/>
      </w:pPr>
      <w:r>
        <w:rPr>
          <w:b/>
          <w:i/>
          <w:color w:val="444444"/>
        </w:rPr>
        <w:t>الحساب مفصول عن النص.</w:t>
      </w:r>
      <w:r>
        <w:rPr>
          <w:i/>
          <w:color w:val="444444"/>
        </w:rPr>
        <w:t xml:space="preserve"> الأرقام موجودة في </w:t>
      </w:r>
      <w:r>
        <w:rPr>
          <w:rFonts w:ascii="Consolas" w:hAnsi="Consolas"/>
          <w:i/>
          <w:color w:val="444444"/>
          <w:sz w:val="18"/>
        </w:rPr>
        <w:t>Модель/assumptions.json</w:t>
      </w:r>
      <w:r>
        <w:rPr>
          <w:i/>
          <w:color w:val="444444"/>
        </w:rPr>
        <w:t xml:space="preserve"> ويحسبها المحرك </w:t>
      </w:r>
      <w:r>
        <w:rPr>
          <w:rFonts w:ascii="Consolas" w:hAnsi="Consolas"/>
          <w:i/>
          <w:color w:val="444444"/>
          <w:sz w:val="18"/>
        </w:rPr>
        <w:t>Модель/model.py</w:t>
      </w:r>
      <w:r>
        <w:rPr>
          <w:i/>
          <w:color w:val="444444"/>
        </w:rPr>
        <w:t>. وتُجمَّع الوثائق من المحرك. وقد جرى ذلك عن قصد: ففي الإصدارات السابقة كانت الأرقام تُخزَّن في كل وثيقة على حدة فتباعدت.</w:t>
      </w:r>
    </w:p>
    <w:p>
      <w:pPr>
        <w:pStyle w:val="Heading2"/>
      </w:pPr>
      <w:r>
        <w:t>1. السوق</w:t>
      </w:r>
    </w:p>
    <w:p>
      <w:pPr>
        <w:pStyle w:val="Heading3"/>
      </w:pPr>
      <w:r>
        <w:t>1.1. الطاقة الرهنية البالغة 25 تريليون روبل</w:t>
      </w:r>
    </w:p>
    <w:p>
      <w:pPr>
        <w:jc w:val="both"/>
      </w:pPr>
      <w:r>
        <w:t>المصدر — مفهوم المؤلف.</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القطاع</w:t>
            </w:r>
          </w:p>
        </w:tc>
        <w:tc>
          <w:tcPr>
            <w:tcW w:type="dxa" w:w="2880"/>
          </w:tcPr>
          <w:p>
            <w:r>
              <w:rPr>
                <w:b/>
                <w:sz w:val="17"/>
              </w:rPr>
            </w:r>
            <w:r>
              <w:rPr>
                <w:b/>
                <w:sz w:val="17"/>
              </w:rPr>
              <w:t>الحجم، تريليون روبل</w:t>
            </w:r>
          </w:p>
        </w:tc>
        <w:tc>
          <w:tcPr>
            <w:tcW w:type="dxa" w:w="2880"/>
          </w:tcPr>
          <w:p>
            <w:r>
              <w:rPr>
                <w:b/>
                <w:sz w:val="17"/>
              </w:rPr>
            </w:r>
            <w:r>
              <w:rPr>
                <w:b/>
                <w:sz w:val="17"/>
              </w:rPr>
              <w:t>الجزء المُدرج (10% من الأصول × 50% من القيمة)، تريليون روبل</w:t>
            </w:r>
          </w:p>
        </w:tc>
      </w:tr>
      <w:tr>
        <w:tc>
          <w:tcPr>
            <w:tcW w:type="dxa" w:w="2880"/>
          </w:tcPr>
          <w:p>
            <w:r>
              <w:rPr>
                <w:sz w:val="17"/>
              </w:rPr>
            </w:r>
            <w:r>
              <w:rPr>
                <w:sz w:val="17"/>
              </w:rPr>
              <w:t>المساكن (4.7 مليار م² × 85,000 روبل/م²)</w:t>
            </w:r>
          </w:p>
        </w:tc>
        <w:tc>
          <w:tcPr>
            <w:tcW w:type="dxa" w:w="2880"/>
          </w:tcPr>
          <w:p>
            <w:r>
              <w:rPr>
                <w:sz w:val="17"/>
              </w:rPr>
            </w:r>
            <w:r>
              <w:rPr>
                <w:sz w:val="17"/>
              </w:rPr>
              <w:t>400</w:t>
            </w:r>
          </w:p>
        </w:tc>
        <w:tc>
          <w:tcPr>
            <w:tcW w:type="dxa" w:w="2880"/>
          </w:tcPr>
          <w:p>
            <w:r>
              <w:rPr>
                <w:sz w:val="17"/>
              </w:rPr>
            </w:r>
            <w:r>
              <w:rPr>
                <w:sz w:val="17"/>
              </w:rPr>
              <w:t>20.0</w:t>
            </w:r>
          </w:p>
        </w:tc>
      </w:tr>
      <w:tr>
        <w:tc>
          <w:tcPr>
            <w:tcW w:type="dxa" w:w="2880"/>
          </w:tcPr>
          <w:p>
            <w:r>
              <w:rPr>
                <w:sz w:val="17"/>
              </w:rPr>
            </w:r>
            <w:r>
              <w:rPr>
                <w:sz w:val="17"/>
              </w:rPr>
              <w:t>العقارات التجارية</w:t>
            </w:r>
          </w:p>
        </w:tc>
        <w:tc>
          <w:tcPr>
            <w:tcW w:type="dxa" w:w="2880"/>
          </w:tcPr>
          <w:p>
            <w:r>
              <w:rPr>
                <w:sz w:val="17"/>
              </w:rPr>
            </w:r>
            <w:r>
              <w:rPr>
                <w:sz w:val="17"/>
              </w:rPr>
              <w:t>45</w:t>
            </w:r>
          </w:p>
        </w:tc>
        <w:tc>
          <w:tcPr>
            <w:tcW w:type="dxa" w:w="2880"/>
          </w:tcPr>
          <w:p>
            <w:r>
              <w:rPr>
                <w:sz w:val="17"/>
              </w:rPr>
            </w:r>
            <w:r>
              <w:rPr>
                <w:sz w:val="17"/>
              </w:rPr>
              <w:t>2.3</w:t>
            </w:r>
          </w:p>
        </w:tc>
      </w:tr>
      <w:tr>
        <w:tc>
          <w:tcPr>
            <w:tcW w:type="dxa" w:w="2880"/>
          </w:tcPr>
          <w:p>
            <w:r>
              <w:rPr>
                <w:sz w:val="17"/>
              </w:rPr>
            </w:r>
            <w:r>
              <w:rPr>
                <w:sz w:val="17"/>
              </w:rPr>
              <w:t>قطع الأراضي</w:t>
            </w:r>
          </w:p>
        </w:tc>
        <w:tc>
          <w:tcPr>
            <w:tcW w:type="dxa" w:w="2880"/>
          </w:tcPr>
          <w:p>
            <w:r>
              <w:rPr>
                <w:sz w:val="17"/>
              </w:rPr>
            </w:r>
            <w:r>
              <w:rPr>
                <w:sz w:val="17"/>
              </w:rPr>
              <w:t>62</w:t>
            </w:r>
          </w:p>
        </w:tc>
        <w:tc>
          <w:tcPr>
            <w:tcW w:type="dxa" w:w="2880"/>
          </w:tcPr>
          <w:p>
            <w:r>
              <w:rPr>
                <w:sz w:val="17"/>
              </w:rPr>
            </w:r>
            <w:r>
              <w:rPr>
                <w:sz w:val="17"/>
              </w:rPr>
              <w:t>3.1</w:t>
            </w:r>
          </w:p>
        </w:tc>
      </w:tr>
      <w:tr>
        <w:tc>
          <w:tcPr>
            <w:tcW w:type="dxa" w:w="2880"/>
          </w:tcPr>
          <w:p>
            <w:r>
              <w:rPr>
                <w:sz w:val="17"/>
              </w:rPr>
            </w:r>
            <w:r>
              <w:rPr>
                <w:b/>
                <w:sz w:val="17"/>
              </w:rPr>
              <w:t>الإجمالي</w:t>
            </w:r>
          </w:p>
        </w:tc>
        <w:tc>
          <w:tcPr>
            <w:tcW w:type="dxa" w:w="2880"/>
          </w:tcPr>
          <w:p>
            <w:r>
              <w:rPr>
                <w:sz w:val="17"/>
              </w:rPr>
            </w:r>
            <w:r>
              <w:rPr>
                <w:b/>
                <w:sz w:val="17"/>
              </w:rPr>
              <w:t>507</w:t>
            </w:r>
          </w:p>
        </w:tc>
        <w:tc>
          <w:tcPr>
            <w:tcW w:type="dxa" w:w="2880"/>
          </w:tcPr>
          <w:p>
            <w:r>
              <w:rPr>
                <w:sz w:val="17"/>
              </w:rPr>
            </w:r>
            <w:r>
              <w:rPr>
                <w:b/>
                <w:sz w:val="17"/>
              </w:rPr>
              <w:t>25.4 ≈ 25</w:t>
            </w:r>
          </w:p>
        </w:tc>
      </w:tr>
    </w:tbl>
    <w:p/>
    <w:p>
      <w:pPr>
        <w:jc w:val="both"/>
      </w:pPr>
      <w:r>
        <w:t>منطق التحفّظ: لا يُدرَج في النظام سوى 10% من الأصول، ولأغراض الرهن تُؤخذ القيمة عند 50% من القيمة السوقية — بما يوافق الممارسة المتبعة في خصومات الرهن.</w:t>
      </w:r>
    </w:p>
    <w:p>
      <w:pPr>
        <w:jc w:val="both"/>
      </w:pPr>
      <w:r>
        <w:rPr>
          <w:b/>
        </w:rPr>
        <w:t>ما ليس هذا التقدير.</w:t>
      </w:r>
      <w:r>
        <w:t xml:space="preserve"> إنه تقدير للطاقة الكامنة لا للطلب. ولا يتضمن المشروع أي دليل على استعداد المالكين لرهن ممتلكاتهم بهذه الشروط. والتحقق من الطلب هو أول ما ينبغي فعله قبل أي حديث عن المال.</w:t>
      </w:r>
    </w:p>
    <w:p>
      <w:pPr>
        <w:pStyle w:val="Heading3"/>
      </w:pPr>
      <w:r>
        <w:t>1.2. فهرسة الطاقة بنسبة 4% سنوياً</w:t>
      </w:r>
    </w:p>
    <w:p>
      <w:pPr>
        <w:jc w:val="both"/>
      </w:pPr>
      <w:r>
        <w:t>مستهدف التضخم لدى بنك روسيا. ولا يتضمن النموذج نمواً حقيقياً للسوق — بل إعادة تقييم فقط.</w:t>
      </w:r>
    </w:p>
    <w:p>
      <w:pPr>
        <w:pStyle w:val="Heading3"/>
      </w:pPr>
      <w:r>
        <w:t>1.3. مسار حصة المنصة</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7"/>
              </w:rPr>
            </w:r>
            <w:r>
              <w:rPr>
                <w:b/>
                <w:sz w:val="17"/>
              </w:rPr>
              <w:t>سنة النموذج</w:t>
            </w:r>
          </w:p>
        </w:tc>
        <w:tc>
          <w:tcPr>
            <w:tcW w:type="dxa" w:w="785"/>
          </w:tcPr>
          <w:p>
            <w:r>
              <w:rPr>
                <w:b/>
                <w:sz w:val="17"/>
              </w:rPr>
            </w:r>
            <w:r>
              <w:rPr>
                <w:b/>
                <w:sz w:val="17"/>
              </w:rPr>
              <w:t>1</w:t>
            </w:r>
          </w:p>
        </w:tc>
        <w:tc>
          <w:tcPr>
            <w:tcW w:type="dxa" w:w="785"/>
          </w:tcPr>
          <w:p>
            <w:r>
              <w:rPr>
                <w:b/>
                <w:sz w:val="17"/>
              </w:rPr>
            </w:r>
            <w:r>
              <w:rPr>
                <w:b/>
                <w:sz w:val="17"/>
              </w:rPr>
              <w:t>2</w:t>
            </w:r>
          </w:p>
        </w:tc>
        <w:tc>
          <w:tcPr>
            <w:tcW w:type="dxa" w:w="785"/>
          </w:tcPr>
          <w:p>
            <w:r>
              <w:rPr>
                <w:b/>
                <w:sz w:val="17"/>
              </w:rPr>
            </w:r>
            <w:r>
              <w:rPr>
                <w:b/>
                <w:sz w:val="17"/>
              </w:rPr>
              <w:t>3</w:t>
            </w:r>
          </w:p>
        </w:tc>
        <w:tc>
          <w:tcPr>
            <w:tcW w:type="dxa" w:w="785"/>
          </w:tcPr>
          <w:p>
            <w:r>
              <w:rPr>
                <w:b/>
                <w:sz w:val="17"/>
              </w:rPr>
            </w:r>
            <w:r>
              <w:rPr>
                <w:b/>
                <w:sz w:val="17"/>
              </w:rPr>
              <w:t>4</w:t>
            </w:r>
          </w:p>
        </w:tc>
        <w:tc>
          <w:tcPr>
            <w:tcW w:type="dxa" w:w="785"/>
          </w:tcPr>
          <w:p>
            <w:r>
              <w:rPr>
                <w:b/>
                <w:sz w:val="17"/>
              </w:rPr>
            </w:r>
            <w:r>
              <w:rPr>
                <w:b/>
                <w:sz w:val="17"/>
              </w:rPr>
              <w:t>5</w:t>
            </w:r>
          </w:p>
        </w:tc>
        <w:tc>
          <w:tcPr>
            <w:tcW w:type="dxa" w:w="785"/>
          </w:tcPr>
          <w:p>
            <w:r>
              <w:rPr>
                <w:b/>
                <w:sz w:val="17"/>
              </w:rPr>
            </w:r>
            <w:r>
              <w:rPr>
                <w:b/>
                <w:sz w:val="17"/>
              </w:rPr>
              <w:t>6</w:t>
            </w:r>
          </w:p>
        </w:tc>
        <w:tc>
          <w:tcPr>
            <w:tcW w:type="dxa" w:w="785"/>
          </w:tcPr>
          <w:p>
            <w:r>
              <w:rPr>
                <w:b/>
                <w:sz w:val="17"/>
              </w:rPr>
            </w:r>
            <w:r>
              <w:rPr>
                <w:b/>
                <w:sz w:val="17"/>
              </w:rPr>
              <w:t>7</w:t>
            </w:r>
          </w:p>
        </w:tc>
        <w:tc>
          <w:tcPr>
            <w:tcW w:type="dxa" w:w="785"/>
          </w:tcPr>
          <w:p>
            <w:r>
              <w:rPr>
                <w:b/>
                <w:sz w:val="17"/>
              </w:rPr>
            </w:r>
            <w:r>
              <w:rPr>
                <w:b/>
                <w:sz w:val="17"/>
              </w:rPr>
              <w:t>8</w:t>
            </w:r>
          </w:p>
        </w:tc>
        <w:tc>
          <w:tcPr>
            <w:tcW w:type="dxa" w:w="785"/>
          </w:tcPr>
          <w:p>
            <w:r>
              <w:rPr>
                <w:b/>
                <w:sz w:val="17"/>
              </w:rPr>
            </w:r>
            <w:r>
              <w:rPr>
                <w:b/>
                <w:sz w:val="17"/>
              </w:rPr>
              <w:t>9</w:t>
            </w:r>
          </w:p>
        </w:tc>
        <w:tc>
          <w:tcPr>
            <w:tcW w:type="dxa" w:w="785"/>
          </w:tcPr>
          <w:p>
            <w:r>
              <w:rPr>
                <w:b/>
                <w:sz w:val="17"/>
              </w:rPr>
            </w:r>
            <w:r>
              <w:rPr>
                <w:b/>
                <w:sz w:val="17"/>
              </w:rPr>
              <w:t>10</w:t>
            </w:r>
          </w:p>
        </w:tc>
      </w:tr>
      <w:tr>
        <w:tc>
          <w:tcPr>
            <w:tcW w:type="dxa" w:w="785"/>
          </w:tcPr>
          <w:p>
            <w:r>
              <w:rPr>
                <w:sz w:val="17"/>
              </w:rPr>
            </w:r>
            <w:r>
              <w:rPr>
                <w:sz w:val="17"/>
              </w:rPr>
              <w:t>السنة الميلادية</w:t>
            </w:r>
          </w:p>
        </w:tc>
        <w:tc>
          <w:tcPr>
            <w:tcW w:type="dxa" w:w="785"/>
          </w:tcPr>
          <w:p>
            <w:r>
              <w:rPr>
                <w:sz w:val="17"/>
              </w:rPr>
            </w:r>
            <w:r>
              <w:rPr>
                <w:sz w:val="17"/>
              </w:rPr>
              <w:t>2027</w:t>
            </w:r>
          </w:p>
        </w:tc>
        <w:tc>
          <w:tcPr>
            <w:tcW w:type="dxa" w:w="785"/>
          </w:tcPr>
          <w:p>
            <w:r>
              <w:rPr>
                <w:sz w:val="17"/>
              </w:rPr>
            </w:r>
            <w:r>
              <w:rPr>
                <w:sz w:val="17"/>
              </w:rPr>
              <w:t>2028</w:t>
            </w:r>
          </w:p>
        </w:tc>
        <w:tc>
          <w:tcPr>
            <w:tcW w:type="dxa" w:w="785"/>
          </w:tcPr>
          <w:p>
            <w:r>
              <w:rPr>
                <w:sz w:val="17"/>
              </w:rPr>
            </w:r>
            <w:r>
              <w:rPr>
                <w:sz w:val="17"/>
              </w:rPr>
              <w:t>2029</w:t>
            </w:r>
          </w:p>
        </w:tc>
        <w:tc>
          <w:tcPr>
            <w:tcW w:type="dxa" w:w="785"/>
          </w:tcPr>
          <w:p>
            <w:r>
              <w:rPr>
                <w:sz w:val="17"/>
              </w:rPr>
            </w:r>
            <w:r>
              <w:rPr>
                <w:sz w:val="17"/>
              </w:rPr>
              <w:t>2030</w:t>
            </w:r>
          </w:p>
        </w:tc>
        <w:tc>
          <w:tcPr>
            <w:tcW w:type="dxa" w:w="785"/>
          </w:tcPr>
          <w:p>
            <w:r>
              <w:rPr>
                <w:sz w:val="17"/>
              </w:rPr>
            </w:r>
            <w:r>
              <w:rPr>
                <w:sz w:val="17"/>
              </w:rPr>
              <w:t>2031</w:t>
            </w:r>
          </w:p>
        </w:tc>
        <w:tc>
          <w:tcPr>
            <w:tcW w:type="dxa" w:w="785"/>
          </w:tcPr>
          <w:p>
            <w:r>
              <w:rPr>
                <w:sz w:val="17"/>
              </w:rPr>
            </w:r>
            <w:r>
              <w:rPr>
                <w:sz w:val="17"/>
              </w:rPr>
              <w:t>2032</w:t>
            </w:r>
          </w:p>
        </w:tc>
        <w:tc>
          <w:tcPr>
            <w:tcW w:type="dxa" w:w="785"/>
          </w:tcPr>
          <w:p>
            <w:r>
              <w:rPr>
                <w:sz w:val="17"/>
              </w:rPr>
            </w:r>
            <w:r>
              <w:rPr>
                <w:sz w:val="17"/>
              </w:rPr>
              <w:t>2033</w:t>
            </w:r>
          </w:p>
        </w:tc>
        <w:tc>
          <w:tcPr>
            <w:tcW w:type="dxa" w:w="785"/>
          </w:tcPr>
          <w:p>
            <w:r>
              <w:rPr>
                <w:sz w:val="17"/>
              </w:rPr>
            </w:r>
            <w:r>
              <w:rPr>
                <w:sz w:val="17"/>
              </w:rPr>
              <w:t>2034</w:t>
            </w:r>
          </w:p>
        </w:tc>
        <w:tc>
          <w:tcPr>
            <w:tcW w:type="dxa" w:w="785"/>
          </w:tcPr>
          <w:p>
            <w:r>
              <w:rPr>
                <w:sz w:val="17"/>
              </w:rPr>
            </w:r>
            <w:r>
              <w:rPr>
                <w:sz w:val="17"/>
              </w:rPr>
              <w:t>2035</w:t>
            </w:r>
          </w:p>
        </w:tc>
        <w:tc>
          <w:tcPr>
            <w:tcW w:type="dxa" w:w="785"/>
          </w:tcPr>
          <w:p>
            <w:r>
              <w:rPr>
                <w:sz w:val="17"/>
              </w:rPr>
            </w:r>
            <w:r>
              <w:rPr>
                <w:sz w:val="17"/>
              </w:rPr>
              <w:t>2036</w:t>
            </w:r>
          </w:p>
        </w:tc>
      </w:tr>
      <w:tr>
        <w:tc>
          <w:tcPr>
            <w:tcW w:type="dxa" w:w="785"/>
          </w:tcPr>
          <w:p>
            <w:r>
              <w:rPr>
                <w:sz w:val="17"/>
              </w:rPr>
            </w:r>
            <w:r>
              <w:rPr>
                <w:sz w:val="17"/>
              </w:rPr>
              <w:t>الحصة السوقية</w:t>
            </w:r>
          </w:p>
        </w:tc>
        <w:tc>
          <w:tcPr>
            <w:tcW w:type="dxa" w:w="785"/>
          </w:tcPr>
          <w:p>
            <w:r>
              <w:rPr>
                <w:sz w:val="17"/>
              </w:rPr>
            </w:r>
            <w:r>
              <w:rPr>
                <w:sz w:val="17"/>
              </w:rPr>
              <w:t>0%</w:t>
            </w:r>
          </w:p>
        </w:tc>
        <w:tc>
          <w:tcPr>
            <w:tcW w:type="dxa" w:w="785"/>
          </w:tcPr>
          <w:p>
            <w:r>
              <w:rPr>
                <w:sz w:val="17"/>
              </w:rPr>
            </w:r>
            <w:r>
              <w:rPr>
                <w:sz w:val="17"/>
              </w:rPr>
              <w:t>0.4%</w:t>
            </w:r>
          </w:p>
        </w:tc>
        <w:tc>
          <w:tcPr>
            <w:tcW w:type="dxa" w:w="785"/>
          </w:tcPr>
          <w:p>
            <w:r>
              <w:rPr>
                <w:sz w:val="17"/>
              </w:rPr>
            </w:r>
            <w:r>
              <w:rPr>
                <w:sz w:val="17"/>
              </w:rPr>
              <w:t>1.8%</w:t>
            </w:r>
          </w:p>
        </w:tc>
        <w:tc>
          <w:tcPr>
            <w:tcW w:type="dxa" w:w="785"/>
          </w:tcPr>
          <w:p>
            <w:r>
              <w:rPr>
                <w:sz w:val="17"/>
              </w:rPr>
            </w:r>
            <w:r>
              <w:rPr>
                <w:sz w:val="17"/>
              </w:rPr>
              <w:t>4.4%</w:t>
            </w:r>
          </w:p>
        </w:tc>
        <w:tc>
          <w:tcPr>
            <w:tcW w:type="dxa" w:w="785"/>
          </w:tcPr>
          <w:p>
            <w:r>
              <w:rPr>
                <w:sz w:val="17"/>
              </w:rPr>
            </w:r>
            <w:r>
              <w:rPr>
                <w:sz w:val="17"/>
              </w:rPr>
              <w:t>8.8%</w:t>
            </w:r>
          </w:p>
        </w:tc>
        <w:tc>
          <w:tcPr>
            <w:tcW w:type="dxa" w:w="785"/>
          </w:tcPr>
          <w:p>
            <w:r>
              <w:rPr>
                <w:sz w:val="17"/>
              </w:rPr>
            </w:r>
            <w:r>
              <w:rPr>
                <w:sz w:val="17"/>
              </w:rPr>
              <w:t>10.8%</w:t>
            </w:r>
          </w:p>
        </w:tc>
        <w:tc>
          <w:tcPr>
            <w:tcW w:type="dxa" w:w="785"/>
          </w:tcPr>
          <w:p>
            <w:r>
              <w:rPr>
                <w:sz w:val="17"/>
              </w:rPr>
            </w:r>
            <w:r>
              <w:rPr>
                <w:sz w:val="17"/>
              </w:rPr>
              <w:t>12.6%</w:t>
            </w:r>
          </w:p>
        </w:tc>
        <w:tc>
          <w:tcPr>
            <w:tcW w:type="dxa" w:w="785"/>
          </w:tcPr>
          <w:p>
            <w:r>
              <w:rPr>
                <w:sz w:val="17"/>
              </w:rPr>
            </w:r>
            <w:r>
              <w:rPr>
                <w:sz w:val="17"/>
              </w:rPr>
              <w:t>14.4%</w:t>
            </w:r>
          </w:p>
        </w:tc>
        <w:tc>
          <w:tcPr>
            <w:tcW w:type="dxa" w:w="785"/>
          </w:tcPr>
          <w:p>
            <w:r>
              <w:rPr>
                <w:sz w:val="17"/>
              </w:rPr>
            </w:r>
            <w:r>
              <w:rPr>
                <w:sz w:val="17"/>
              </w:rPr>
              <w:t>16.2%</w:t>
            </w:r>
          </w:p>
        </w:tc>
        <w:tc>
          <w:tcPr>
            <w:tcW w:type="dxa" w:w="785"/>
          </w:tcPr>
          <w:p>
            <w:r>
              <w:rPr>
                <w:sz w:val="17"/>
              </w:rPr>
            </w:r>
            <w:r>
              <w:rPr>
                <w:b/>
                <w:sz w:val="17"/>
              </w:rPr>
              <w:t>18%</w:t>
            </w:r>
          </w:p>
        </w:tc>
      </w:tr>
    </w:tbl>
    <w:p/>
    <w:p>
      <w:pPr>
        <w:jc w:val="both"/>
      </w:pPr>
      <w:r>
        <w:t>خفّض المؤلف مستهدف السنة العاشرة من 20% إلى 18% بعد تدقيق عام 2026. والسيناريو المحافظ 7%، والمتفائل 25%.</w:t>
      </w:r>
    </w:p>
    <w:p>
      <w:pPr>
        <w:jc w:val="both"/>
      </w:pPr>
      <w:r>
        <w:rPr>
          <w:b/>
        </w:rPr>
        <w:t>هذا هو الافتراض الرئيسي غير المتحقق منه في النموذج.</w:t>
      </w:r>
      <w:r>
        <w:t xml:space="preserve"> فهو لا يستند إلى تجربة رائدة ولا عقود ولا مشروع مماثل. وكل الحساب المتبقي مشتق من هذا السطر. وعند التحاور مع مستثمر ينبغي أن يبدأ النقاش من هنا لا من القيمة النهائية.</w:t>
      </w:r>
    </w:p>
    <w:p>
      <w:pPr>
        <w:pStyle w:val="Heading3"/>
      </w:pPr>
      <w:r>
        <w:t>1.4. يبدأ الأفق من 2027</w:t>
      </w:r>
    </w:p>
    <w:p>
      <w:pPr>
        <w:jc w:val="both"/>
      </w:pPr>
      <w:r>
        <w:t>كان الإصدار السابق يحسب ابتداءً من 2025 ويفترض إصداراً للأصول المالية الرقمية بقيمة 104 مليار روبل في 2026. وفي تاريخ هذا الإصدار لا توجد رخصة مشغّل نظام معلومات ولا إطار تنظيمي معتمد ولا إصدار واحد. لذلك أُزيح الأفق: 2027 للتحضير، و2028 لأول الإصدارات.</w:t>
      </w:r>
    </w:p>
    <w:p>
      <w:pPr>
        <w:jc w:val="both"/>
      </w:pPr>
      <w:r>
        <w:t>وثمن هذه الإزاحة ظاهر في الحساب: كل سنة تأخير تزيل نحو ربع قيمة المشروع.</w:t>
      </w:r>
    </w:p>
    <w:p>
      <w:pPr>
        <w:pStyle w:val="Heading3"/>
      </w:pPr>
      <w:r>
        <w:t>1.5. الرصيد المتداول</w:t>
      </w:r>
    </w:p>
    <w:p>
      <w:pPr>
        <w:jc w:val="both"/>
      </w:pPr>
      <w:r>
        <w:t>رصيد السنة t = مجموع إصدارات السنوات t−4 … t. ومتوسط عمر الإصدار 5 سنوات، بما يوافق طول دورات البنية التحتية.</w:t>
      </w:r>
    </w:p>
    <w:p>
      <w:pPr>
        <w:pStyle w:val="Heading2"/>
      </w:pPr>
      <w:r>
        <w:t>2. التعرفة</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البند</w:t>
            </w:r>
          </w:p>
        </w:tc>
        <w:tc>
          <w:tcPr>
            <w:tcW w:type="dxa" w:w="2880"/>
          </w:tcPr>
          <w:p>
            <w:r>
              <w:rPr>
                <w:b/>
                <w:sz w:val="17"/>
              </w:rPr>
            </w:r>
            <w:r>
              <w:rPr>
                <w:b/>
                <w:sz w:val="17"/>
              </w:rPr>
              <w:t>المعدل</w:t>
            </w:r>
          </w:p>
        </w:tc>
        <w:tc>
          <w:tcPr>
            <w:tcW w:type="dxa" w:w="2880"/>
          </w:tcPr>
          <w:p>
            <w:r>
              <w:rPr>
                <w:b/>
                <w:sz w:val="17"/>
              </w:rPr>
            </w:r>
            <w:r>
              <w:rPr>
                <w:b/>
                <w:sz w:val="17"/>
              </w:rPr>
              <w:t>المرجع السوقي</w:t>
            </w:r>
          </w:p>
        </w:tc>
      </w:tr>
      <w:tr>
        <w:tc>
          <w:tcPr>
            <w:tcW w:type="dxa" w:w="2880"/>
          </w:tcPr>
          <w:p>
            <w:r>
              <w:rPr>
                <w:sz w:val="17"/>
              </w:rPr>
            </w:r>
            <w:r>
              <w:rPr>
                <w:sz w:val="17"/>
              </w:rPr>
              <w:t>عمولة الإصدار</w:t>
            </w:r>
          </w:p>
        </w:tc>
        <w:tc>
          <w:tcPr>
            <w:tcW w:type="dxa" w:w="2880"/>
          </w:tcPr>
          <w:p>
            <w:r>
              <w:rPr>
                <w:sz w:val="17"/>
              </w:rPr>
            </w:r>
            <w:r>
              <w:rPr>
                <w:sz w:val="17"/>
              </w:rPr>
              <w:t>0.50%</w:t>
            </w:r>
          </w:p>
        </w:tc>
        <w:tc>
          <w:tcPr>
            <w:tcW w:type="dxa" w:w="2880"/>
          </w:tcPr>
          <w:p>
            <w:r>
              <w:rPr>
                <w:sz w:val="17"/>
              </w:rPr>
            </w:r>
            <w:r>
              <w:rPr>
                <w:sz w:val="17"/>
              </w:rPr>
              <w:t>مشغّلو الأصول الرقمية في روسيا: 0.1–1%</w:t>
            </w:r>
          </w:p>
        </w:tc>
      </w:tr>
      <w:tr>
        <w:tc>
          <w:tcPr>
            <w:tcW w:type="dxa" w:w="2880"/>
          </w:tcPr>
          <w:p>
            <w:r>
              <w:rPr>
                <w:sz w:val="17"/>
              </w:rPr>
            </w:r>
            <w:r>
              <w:rPr>
                <w:sz w:val="17"/>
              </w:rPr>
              <w:t>عمولة الخدمة على الرصيد</w:t>
            </w:r>
          </w:p>
        </w:tc>
        <w:tc>
          <w:tcPr>
            <w:tcW w:type="dxa" w:w="2880"/>
          </w:tcPr>
          <w:p>
            <w:r>
              <w:rPr>
                <w:sz w:val="17"/>
              </w:rPr>
            </w:r>
            <w:r>
              <w:rPr>
                <w:sz w:val="17"/>
              </w:rPr>
              <w:t>0.30%</w:t>
            </w:r>
          </w:p>
        </w:tc>
        <w:tc>
          <w:tcPr>
            <w:tcW w:type="dxa" w:w="2880"/>
          </w:tcPr>
          <w:p>
            <w:r>
              <w:rPr>
                <w:sz w:val="17"/>
              </w:rPr>
            </w:r>
            <w:r>
              <w:rPr>
                <w:sz w:val="17"/>
              </w:rPr>
              <w:t>جهات الإيداع 0.05–0.15%؛ شركات الإدارة 1–2%</w:t>
            </w:r>
          </w:p>
        </w:tc>
      </w:tr>
      <w:tr>
        <w:tc>
          <w:tcPr>
            <w:tcW w:type="dxa" w:w="2880"/>
          </w:tcPr>
          <w:p>
            <w:r>
              <w:rPr>
                <w:sz w:val="17"/>
              </w:rPr>
            </w:r>
            <w:r>
              <w:rPr>
                <w:sz w:val="17"/>
              </w:rPr>
              <w:t>رسم المنصة (التقييم الآلي)</w:t>
            </w:r>
          </w:p>
        </w:tc>
        <w:tc>
          <w:tcPr>
            <w:tcW w:type="dxa" w:w="2880"/>
          </w:tcPr>
          <w:p>
            <w:r>
              <w:rPr>
                <w:sz w:val="17"/>
              </w:rPr>
            </w:r>
            <w:r>
              <w:rPr>
                <w:sz w:val="17"/>
              </w:rPr>
              <w:t>0.15%</w:t>
            </w:r>
          </w:p>
        </w:tc>
        <w:tc>
          <w:tcPr>
            <w:tcW w:type="dxa" w:w="2880"/>
          </w:tcPr>
          <w:p>
            <w:r>
              <w:rPr>
                <w:sz w:val="17"/>
              </w:rPr>
            </w:r>
            <w:r>
              <w:rPr>
                <w:sz w:val="17"/>
              </w:rPr>
              <w:t>شركات التقييم 0.1–0.5%</w:t>
            </w:r>
          </w:p>
        </w:tc>
      </w:tr>
      <w:tr>
        <w:tc>
          <w:tcPr>
            <w:tcW w:type="dxa" w:w="2880"/>
          </w:tcPr>
          <w:p>
            <w:r>
              <w:rPr>
                <w:sz w:val="17"/>
              </w:rPr>
            </w:r>
            <w:r>
              <w:rPr>
                <w:sz w:val="17"/>
              </w:rPr>
              <w:t>تراخيص B2B2G</w:t>
            </w:r>
          </w:p>
        </w:tc>
        <w:tc>
          <w:tcPr>
            <w:tcW w:type="dxa" w:w="2880"/>
          </w:tcPr>
          <w:p>
            <w:r>
              <w:rPr>
                <w:sz w:val="17"/>
              </w:rPr>
            </w:r>
            <w:r>
              <w:rPr>
                <w:sz w:val="17"/>
              </w:rPr>
              <w:t>من 0 إلى 0.15%</w:t>
            </w:r>
          </w:p>
        </w:tc>
        <w:tc>
          <w:tcPr>
            <w:tcW w:type="dxa" w:w="2880"/>
          </w:tcPr>
          <w:p>
            <w:r>
              <w:rPr>
                <w:sz w:val="17"/>
              </w:rPr>
            </w:r>
            <w:r>
              <w:rPr>
                <w:sz w:val="17"/>
              </w:rPr>
              <w:t>نمو خطي على مدى السنوات</w:t>
            </w:r>
          </w:p>
        </w:tc>
      </w:tr>
      <w:tr>
        <w:tc>
          <w:tcPr>
            <w:tcW w:type="dxa" w:w="2880"/>
          </w:tcPr>
          <w:p>
            <w:r>
              <w:rPr>
                <w:sz w:val="17"/>
              </w:rPr>
            </w:r>
            <w:r>
              <w:rPr>
                <w:sz w:val="17"/>
              </w:rPr>
              <w:t>التكاملات التقنية</w:t>
            </w:r>
          </w:p>
        </w:tc>
        <w:tc>
          <w:tcPr>
            <w:tcW w:type="dxa" w:w="2880"/>
          </w:tcPr>
          <w:p>
            <w:r>
              <w:rPr>
                <w:sz w:val="17"/>
              </w:rPr>
            </w:r>
            <w:r>
              <w:rPr>
                <w:sz w:val="17"/>
              </w:rPr>
              <w:t>50–1,150 مليون روبل سنوياً</w:t>
            </w:r>
          </w:p>
        </w:tc>
        <w:tc>
          <w:tcPr>
            <w:tcW w:type="dxa" w:w="2880"/>
          </w:tcPr>
          <w:p>
            <w:r>
              <w:rPr>
                <w:sz w:val="17"/>
              </w:rPr>
            </w:r>
            <w:r>
              <w:rPr>
                <w:sz w:val="17"/>
              </w:rPr>
              <w:t>10–50 مليون روبل لكل ربط شريك</w:t>
            </w:r>
          </w:p>
        </w:tc>
      </w:tr>
      <w:tr>
        <w:tc>
          <w:tcPr>
            <w:tcW w:type="dxa" w:w="2880"/>
          </w:tcPr>
          <w:p>
            <w:r>
              <w:rPr>
                <w:sz w:val="17"/>
              </w:rPr>
            </w:r>
            <w:r>
              <w:rPr>
                <w:sz w:val="17"/>
              </w:rPr>
              <w:t>التقييم والتأمين، التعرفة الإجمالية</w:t>
            </w:r>
          </w:p>
        </w:tc>
        <w:tc>
          <w:tcPr>
            <w:tcW w:type="dxa" w:w="2880"/>
          </w:tcPr>
          <w:p>
            <w:r>
              <w:rPr>
                <w:sz w:val="17"/>
              </w:rPr>
            </w:r>
            <w:r>
              <w:rPr>
                <w:sz w:val="17"/>
              </w:rPr>
              <w:t>0.80%</w:t>
            </w:r>
          </w:p>
        </w:tc>
        <w:tc>
          <w:tcPr>
            <w:tcW w:type="dxa" w:w="2880"/>
          </w:tcPr>
          <w:p>
            <w:r>
              <w:rPr>
                <w:sz w:val="17"/>
              </w:rPr>
            </w:r>
            <w:r>
              <w:rPr>
                <w:sz w:val="17"/>
              </w:rPr>
              <w:t>أقساط التأمين 0.3–0.8%</w:t>
            </w:r>
          </w:p>
        </w:tc>
      </w:tr>
    </w:tbl>
    <w:p/>
    <w:p>
      <w:pPr>
        <w:pStyle w:val="Heading3"/>
      </w:pPr>
      <w:r>
        <w:t>2.1. لماذا يُقيَّد التقييم والتأمين بالصافي</w:t>
      </w:r>
    </w:p>
    <w:p>
      <w:pPr>
        <w:jc w:val="both"/>
      </w:pPr>
      <w:r>
        <w:t>في هذا البند تعمل المنصة بصفة وكيل: تحصّل 0.8% من الحجم وتحوّل 85% منها إلى المقيّمين وشركات التأمين. وهامشها الخاص 0.12% من الحجم. وهذا الهامش وحده يدخل في الإيراد؛ أما المتحصلات الإجمالية فتُعرض في سطر مستقل للعلم.</w:t>
      </w:r>
    </w:p>
    <w:p>
      <w:pPr>
        <w:jc w:val="both"/>
      </w:pPr>
      <w:r>
        <w:t>في الإصدار السابق كانت نسبة 0.8% كاملة تُحتسب إيراداً للمنصة. وفي 2034 بلغ ذلك 51,240 مليون روبل — أكثر من ثلث كامل الإيراد المعلن — بينما لم تصل التكاليف المقابلة إلى جانب المصروفات قط. وكانت عبارة «عابرة، 85% تكاليف مقابلة» موجودة في مذكّرة النموذج لكنها لم تُنقل إلى الحساب.</w:t>
      </w:r>
    </w:p>
    <w:p>
      <w:pPr>
        <w:pStyle w:val="Heading3"/>
      </w:pPr>
      <w:r>
        <w:t>2.2. التعرفة غير مفهرسة</w:t>
      </w:r>
    </w:p>
    <w:p>
      <w:pPr>
        <w:jc w:val="both"/>
      </w:pPr>
      <w:r>
        <w:t>تبسيط مقصود لمصلحة التحفّظ: نمو الإيراد يأتي من نمو الأحجام وحده.</w:t>
      </w:r>
    </w:p>
    <w:p>
      <w:pPr>
        <w:pStyle w:val="Heading2"/>
      </w:pPr>
      <w:r>
        <w:t>3. النفقات الرأسمالية</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السنة</w:t>
            </w:r>
          </w:p>
        </w:tc>
        <w:tc>
          <w:tcPr>
            <w:tcW w:type="dxa" w:w="2880"/>
          </w:tcPr>
          <w:p>
            <w:r>
              <w:rPr>
                <w:b/>
                <w:sz w:val="17"/>
              </w:rPr>
            </w:r>
            <w:r>
              <w:rPr>
                <w:b/>
                <w:sz w:val="17"/>
              </w:rPr>
              <w:t>مليون روبل</w:t>
            </w:r>
          </w:p>
        </w:tc>
        <w:tc>
          <w:tcPr>
            <w:tcW w:type="dxa" w:w="2880"/>
          </w:tcPr>
          <w:p>
            <w:r>
              <w:rPr>
                <w:b/>
                <w:sz w:val="17"/>
              </w:rPr>
            </w:r>
            <w:r>
              <w:rPr>
                <w:b/>
                <w:sz w:val="17"/>
              </w:rPr>
              <w:t>الغرض</w:t>
            </w:r>
          </w:p>
        </w:tc>
      </w:tr>
      <w:tr>
        <w:tc>
          <w:tcPr>
            <w:tcW w:type="dxa" w:w="2880"/>
          </w:tcPr>
          <w:p>
            <w:r>
              <w:rPr>
                <w:sz w:val="17"/>
              </w:rPr>
            </w:r>
            <w:r>
              <w:rPr>
                <w:sz w:val="17"/>
              </w:rPr>
              <w:t>2027</w:t>
            </w:r>
          </w:p>
        </w:tc>
        <w:tc>
          <w:tcPr>
            <w:tcW w:type="dxa" w:w="2880"/>
          </w:tcPr>
          <w:p>
            <w:r>
              <w:rPr>
                <w:sz w:val="17"/>
              </w:rPr>
            </w:r>
            <w:r>
              <w:rPr>
                <w:sz w:val="17"/>
              </w:rPr>
              <w:t>300</w:t>
            </w:r>
          </w:p>
        </w:tc>
        <w:tc>
          <w:tcPr>
            <w:tcW w:type="dxa" w:w="2880"/>
          </w:tcPr>
          <w:p>
            <w:r>
              <w:rPr>
                <w:sz w:val="17"/>
              </w:rPr>
            </w:r>
            <w:r>
              <w:rPr>
                <w:sz w:val="17"/>
              </w:rPr>
              <w:t>نواة المنصة، ووحدتا التقييم وتسجيل الرهون</w:t>
            </w:r>
          </w:p>
        </w:tc>
      </w:tr>
      <w:tr>
        <w:tc>
          <w:tcPr>
            <w:tcW w:type="dxa" w:w="2880"/>
          </w:tcPr>
          <w:p>
            <w:r>
              <w:rPr>
                <w:sz w:val="17"/>
              </w:rPr>
            </w:r>
            <w:r>
              <w:rPr>
                <w:sz w:val="17"/>
              </w:rPr>
              <w:t>2028</w:t>
            </w:r>
          </w:p>
        </w:tc>
        <w:tc>
          <w:tcPr>
            <w:tcW w:type="dxa" w:w="2880"/>
          </w:tcPr>
          <w:p>
            <w:r>
              <w:rPr>
                <w:sz w:val="17"/>
              </w:rPr>
            </w:r>
            <w:r>
              <w:rPr>
                <w:sz w:val="17"/>
              </w:rPr>
              <w:t>420</w:t>
            </w:r>
          </w:p>
        </w:tc>
        <w:tc>
          <w:tcPr>
            <w:tcW w:type="dxa" w:w="2880"/>
          </w:tcPr>
          <w:p>
            <w:r>
              <w:rPr>
                <w:sz w:val="17"/>
              </w:rPr>
            </w:r>
            <w:r>
              <w:rPr>
                <w:sz w:val="17"/>
              </w:rPr>
              <w:t>مراكز البيانات، والتراخيص، والإطلاق</w:t>
            </w:r>
          </w:p>
        </w:tc>
      </w:tr>
      <w:tr>
        <w:tc>
          <w:tcPr>
            <w:tcW w:type="dxa" w:w="2880"/>
          </w:tcPr>
          <w:p>
            <w:r>
              <w:rPr>
                <w:sz w:val="17"/>
              </w:rPr>
            </w:r>
            <w:r>
              <w:rPr>
                <w:sz w:val="17"/>
              </w:rPr>
              <w:t>2029</w:t>
            </w:r>
          </w:p>
        </w:tc>
        <w:tc>
          <w:tcPr>
            <w:tcW w:type="dxa" w:w="2880"/>
          </w:tcPr>
          <w:p>
            <w:r>
              <w:rPr>
                <w:sz w:val="17"/>
              </w:rPr>
            </w:r>
            <w:r>
              <w:rPr>
                <w:sz w:val="17"/>
              </w:rPr>
              <w:t>400</w:t>
            </w:r>
          </w:p>
        </w:tc>
        <w:tc>
          <w:tcPr>
            <w:tcW w:type="dxa" w:w="2880"/>
          </w:tcPr>
          <w:p>
            <w:r>
              <w:rPr>
                <w:sz w:val="17"/>
              </w:rPr>
            </w:r>
            <w:r>
              <w:rPr>
                <w:sz w:val="17"/>
              </w:rPr>
              <w:t>نضج المنصة، والبنية التحتية للنظام القانوني</w:t>
            </w:r>
          </w:p>
        </w:tc>
      </w:tr>
      <w:tr>
        <w:tc>
          <w:tcPr>
            <w:tcW w:type="dxa" w:w="2880"/>
          </w:tcPr>
          <w:p>
            <w:r>
              <w:rPr>
                <w:sz w:val="17"/>
              </w:rPr>
            </w:r>
            <w:r>
              <w:rPr>
                <w:sz w:val="17"/>
              </w:rPr>
              <w:t>2030</w:t>
            </w:r>
          </w:p>
        </w:tc>
        <w:tc>
          <w:tcPr>
            <w:tcW w:type="dxa" w:w="2880"/>
          </w:tcPr>
          <w:p>
            <w:r>
              <w:rPr>
                <w:sz w:val="17"/>
              </w:rPr>
            </w:r>
            <w:r>
              <w:rPr>
                <w:sz w:val="17"/>
              </w:rPr>
              <w:t>550</w:t>
            </w:r>
          </w:p>
        </w:tc>
        <w:tc>
          <w:tcPr>
            <w:tcW w:type="dxa" w:w="2880"/>
          </w:tcPr>
          <w:p>
            <w:r>
              <w:rPr>
                <w:sz w:val="17"/>
              </w:rPr>
            </w:r>
            <w:r>
              <w:rPr>
                <w:sz w:val="17"/>
              </w:rPr>
              <w:t>إنشاء سجل مشغّلي أنظمة المعلومات (اللائحة 779-P)</w:t>
            </w:r>
          </w:p>
        </w:tc>
      </w:tr>
      <w:tr>
        <w:tc>
          <w:tcPr>
            <w:tcW w:type="dxa" w:w="2880"/>
          </w:tcPr>
          <w:p>
            <w:r>
              <w:rPr>
                <w:sz w:val="17"/>
              </w:rPr>
            </w:r>
            <w:r>
              <w:rPr>
                <w:sz w:val="17"/>
              </w:rPr>
              <w:t>2031</w:t>
            </w:r>
          </w:p>
        </w:tc>
        <w:tc>
          <w:tcPr>
            <w:tcW w:type="dxa" w:w="2880"/>
          </w:tcPr>
          <w:p>
            <w:r>
              <w:rPr>
                <w:sz w:val="17"/>
              </w:rPr>
            </w:r>
            <w:r>
              <w:rPr>
                <w:sz w:val="17"/>
              </w:rPr>
              <w:t>1,800</w:t>
            </w:r>
          </w:p>
        </w:tc>
        <w:tc>
          <w:tcPr>
            <w:tcW w:type="dxa" w:w="2880"/>
          </w:tcPr>
          <w:p>
            <w:r>
              <w:rPr>
                <w:sz w:val="17"/>
              </w:rPr>
            </w:r>
            <w:r>
              <w:rPr>
                <w:sz w:val="17"/>
              </w:rPr>
              <w:t>اعتماد FSTEC/FSB، ومركز بيانات ثانٍ</w:t>
            </w:r>
          </w:p>
        </w:tc>
      </w:tr>
      <w:tr>
        <w:tc>
          <w:tcPr>
            <w:tcW w:type="dxa" w:w="2880"/>
          </w:tcPr>
          <w:p>
            <w:r>
              <w:rPr>
                <w:sz w:val="17"/>
              </w:rPr>
            </w:r>
            <w:r>
              <w:rPr>
                <w:sz w:val="17"/>
              </w:rPr>
              <w:t>2032</w:t>
            </w:r>
          </w:p>
        </w:tc>
        <w:tc>
          <w:tcPr>
            <w:tcW w:type="dxa" w:w="2880"/>
          </w:tcPr>
          <w:p>
            <w:r>
              <w:rPr>
                <w:sz w:val="17"/>
              </w:rPr>
            </w:r>
            <w:r>
              <w:rPr>
                <w:sz w:val="17"/>
              </w:rPr>
              <w:t>2,400</w:t>
            </w:r>
          </w:p>
        </w:tc>
        <w:tc>
          <w:tcPr>
            <w:tcW w:type="dxa" w:w="2880"/>
          </w:tcPr>
          <w:p>
            <w:r>
              <w:rPr>
                <w:sz w:val="17"/>
              </w:rPr>
            </w:r>
            <w:r>
              <w:rPr>
                <w:sz w:val="17"/>
              </w:rPr>
              <w:t>التوسّع: مركز ثالث، ووحدات تشفير من جيل جديد</w:t>
            </w:r>
          </w:p>
        </w:tc>
      </w:tr>
      <w:tr>
        <w:tc>
          <w:tcPr>
            <w:tcW w:type="dxa" w:w="2880"/>
          </w:tcPr>
          <w:p>
            <w:r>
              <w:rPr>
                <w:sz w:val="17"/>
              </w:rPr>
            </w:r>
            <w:r>
              <w:rPr>
                <w:sz w:val="17"/>
              </w:rPr>
              <w:t>2033</w:t>
            </w:r>
          </w:p>
        </w:tc>
        <w:tc>
          <w:tcPr>
            <w:tcW w:type="dxa" w:w="2880"/>
          </w:tcPr>
          <w:p>
            <w:r>
              <w:rPr>
                <w:sz w:val="17"/>
              </w:rPr>
            </w:r>
            <w:r>
              <w:rPr>
                <w:sz w:val="17"/>
              </w:rPr>
              <w:t>1,600</w:t>
            </w:r>
          </w:p>
        </w:tc>
        <w:tc>
          <w:tcPr>
            <w:tcW w:type="dxa" w:w="2880"/>
          </w:tcPr>
          <w:p>
            <w:r>
              <w:rPr>
                <w:sz w:val="17"/>
              </w:rPr>
            </w:r>
            <w:r>
              <w:rPr>
                <w:sz w:val="17"/>
              </w:rPr>
              <w:t>تحديث مجدول</w:t>
            </w:r>
          </w:p>
        </w:tc>
      </w:tr>
      <w:tr>
        <w:tc>
          <w:tcPr>
            <w:tcW w:type="dxa" w:w="2880"/>
          </w:tcPr>
          <w:p>
            <w:r>
              <w:rPr>
                <w:sz w:val="17"/>
              </w:rPr>
            </w:r>
            <w:r>
              <w:rPr>
                <w:sz w:val="17"/>
              </w:rPr>
              <w:t>2034</w:t>
            </w:r>
          </w:p>
        </w:tc>
        <w:tc>
          <w:tcPr>
            <w:tcW w:type="dxa" w:w="2880"/>
          </w:tcPr>
          <w:p>
            <w:r>
              <w:rPr>
                <w:sz w:val="17"/>
              </w:rPr>
            </w:r>
            <w:r>
              <w:rPr>
                <w:sz w:val="17"/>
              </w:rPr>
              <w:t>1,800</w:t>
            </w:r>
          </w:p>
        </w:tc>
        <w:tc>
          <w:tcPr>
            <w:tcW w:type="dxa" w:w="2880"/>
          </w:tcPr>
          <w:p>
            <w:r>
              <w:rPr>
                <w:sz w:val="17"/>
              </w:rPr>
            </w:r>
            <w:r>
              <w:rPr>
                <w:sz w:val="17"/>
              </w:rPr>
              <w:t>ترقية منصة السجل الموزّع</w:t>
            </w:r>
          </w:p>
        </w:tc>
      </w:tr>
      <w:tr>
        <w:tc>
          <w:tcPr>
            <w:tcW w:type="dxa" w:w="2880"/>
          </w:tcPr>
          <w:p>
            <w:r>
              <w:rPr>
                <w:sz w:val="17"/>
              </w:rPr>
            </w:r>
            <w:r>
              <w:rPr>
                <w:sz w:val="17"/>
              </w:rPr>
              <w:t>2035</w:t>
            </w:r>
          </w:p>
        </w:tc>
        <w:tc>
          <w:tcPr>
            <w:tcW w:type="dxa" w:w="2880"/>
          </w:tcPr>
          <w:p>
            <w:r>
              <w:rPr>
                <w:sz w:val="17"/>
              </w:rPr>
            </w:r>
            <w:r>
              <w:rPr>
                <w:sz w:val="17"/>
              </w:rPr>
              <w:t>2,300</w:t>
            </w:r>
          </w:p>
        </w:tc>
        <w:tc>
          <w:tcPr>
            <w:tcW w:type="dxa" w:w="2880"/>
          </w:tcPr>
          <w:p>
            <w:r>
              <w:rPr>
                <w:sz w:val="17"/>
              </w:rPr>
            </w:r>
            <w:r>
              <w:rPr>
                <w:sz w:val="17"/>
              </w:rPr>
              <w:t>توسيع البنية التحتية لرصيد يتجاوز 20 تريليون روبل</w:t>
            </w:r>
          </w:p>
        </w:tc>
      </w:tr>
      <w:tr>
        <w:tc>
          <w:tcPr>
            <w:tcW w:type="dxa" w:w="2880"/>
          </w:tcPr>
          <w:p>
            <w:r>
              <w:rPr>
                <w:sz w:val="17"/>
              </w:rPr>
            </w:r>
            <w:r>
              <w:rPr>
                <w:sz w:val="17"/>
              </w:rPr>
              <w:t>2036</w:t>
            </w:r>
          </w:p>
        </w:tc>
        <w:tc>
          <w:tcPr>
            <w:tcW w:type="dxa" w:w="2880"/>
          </w:tcPr>
          <w:p>
            <w:r>
              <w:rPr>
                <w:sz w:val="17"/>
              </w:rPr>
            </w:r>
            <w:r>
              <w:rPr>
                <w:sz w:val="17"/>
              </w:rPr>
              <w:t>2,000</w:t>
            </w:r>
          </w:p>
        </w:tc>
        <w:tc>
          <w:tcPr>
            <w:tcW w:type="dxa" w:w="2880"/>
          </w:tcPr>
          <w:p>
            <w:r>
              <w:rPr>
                <w:sz w:val="17"/>
              </w:rPr>
            </w:r>
            <w:r>
              <w:rPr>
                <w:sz w:val="17"/>
              </w:rPr>
              <w:t>تحديث مجدول</w:t>
            </w:r>
          </w:p>
        </w:tc>
      </w:tr>
      <w:tr>
        <w:tc>
          <w:tcPr>
            <w:tcW w:type="dxa" w:w="2880"/>
          </w:tcPr>
          <w:p>
            <w:r>
              <w:rPr>
                <w:sz w:val="17"/>
              </w:rPr>
            </w:r>
            <w:r>
              <w:rPr>
                <w:b/>
                <w:sz w:val="17"/>
              </w:rPr>
              <w:t>الإجمالي</w:t>
            </w:r>
          </w:p>
        </w:tc>
        <w:tc>
          <w:tcPr>
            <w:tcW w:type="dxa" w:w="2880"/>
          </w:tcPr>
          <w:p>
            <w:r>
              <w:rPr>
                <w:sz w:val="17"/>
              </w:rPr>
            </w:r>
            <w:r>
              <w:rPr>
                <w:b/>
                <w:sz w:val="17"/>
              </w:rPr>
              <w:t>13,570</w:t>
            </w:r>
          </w:p>
        </w:tc>
        <w:tc>
          <w:tcPr>
            <w:tcW w:type="dxa" w:w="2880"/>
          </w:tcPr>
          <w:p>
            <w:r>
              <w:rPr>
                <w:sz w:val="17"/>
              </w:rPr>
            </w:r>
          </w:p>
        </w:tc>
      </w:tr>
    </w:tbl>
    <w:p/>
    <w:p>
      <w:pPr>
        <w:jc w:val="both"/>
      </w:pPr>
      <w:r>
        <w:t>لأول 18 شهراً — 720 مليون روبل. الإهلاك على 7 سنوات بالقسط الثابت.</w:t>
      </w:r>
    </w:p>
    <w:p>
      <w:pPr>
        <w:ind w:left="360"/>
      </w:pPr>
      <w:r>
        <w:rPr>
          <w:i/>
          <w:color w:val="444444"/>
        </w:rPr>
        <w:t>أشار الإصدار السابق من خطة العمل إلى «إجمالي النفقات الرأسمالية على عشر سنوات — 1,300 مليون روبل»، بينما أعطى جدول النموذج نفسه 13,570 مليون روبل. خطأ بمقدار عشرة أضعاف بالضبط.</w:t>
      </w:r>
    </w:p>
    <w:p>
      <w:pPr>
        <w:pStyle w:val="Heading2"/>
      </w:pPr>
      <w:r>
        <w:t>4. المصروفات التشغيلية</w:t>
      </w:r>
    </w:p>
    <w:p>
      <w:pPr>
        <w:jc w:val="both"/>
      </w:pPr>
      <w:r>
        <w:t>تتألف المصروفات من جزأين.</w:t>
      </w:r>
    </w:p>
    <w:p>
      <w:pPr>
        <w:jc w:val="both"/>
      </w:pPr>
      <w:r>
        <w:rPr>
          <w:b/>
        </w:rPr>
        <w:t>الأجور</w:t>
      </w:r>
      <w:r>
        <w:t xml:space="preserve"> = عدد الموظفين في نهاية السنة × متوسط الراتب × 12 × 1.30 (اشتراكات تأمين 30%). العدد 40 ← 370، وراتب السنة الأولى 350 ألف روبل شهرياً بفهرسة 6% سنوياً.</w:t>
      </w:r>
    </w:p>
    <w:p>
      <w:pPr>
        <w:jc w:val="both"/>
      </w:pPr>
      <w:r>
        <w:rPr>
          <w:b/>
        </w:rPr>
        <w:t>المصروفات الأخرى</w:t>
      </w:r>
      <w:r>
        <w:t xml:space="preserve"> = أساس قدره 502 مليون روبل بفهرسة 4% سنوياً + جزء متغير قدره 22% من الإيراد.</w:t>
      </w:r>
    </w:p>
    <w:p>
      <w:pPr>
        <w:jc w:val="both"/>
      </w:pPr>
      <w:r>
        <w:t>ويتوزّع أساس السنة الأولى كما يلي:</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البند</w:t>
            </w:r>
          </w:p>
        </w:tc>
        <w:tc>
          <w:tcPr>
            <w:tcW w:type="dxa" w:w="4320"/>
          </w:tcPr>
          <w:p>
            <w:r>
              <w:rPr>
                <w:b/>
                <w:sz w:val="17"/>
              </w:rPr>
            </w:r>
            <w:r>
              <w:rPr>
                <w:b/>
                <w:sz w:val="17"/>
              </w:rPr>
              <w:t>مليون روبل</w:t>
            </w:r>
          </w:p>
        </w:tc>
      </w:tr>
      <w:tr>
        <w:tc>
          <w:tcPr>
            <w:tcW w:type="dxa" w:w="4320"/>
          </w:tcPr>
          <w:p>
            <w:r>
              <w:rPr>
                <w:sz w:val="17"/>
              </w:rPr>
            </w:r>
            <w:r>
              <w:rPr>
                <w:sz w:val="17"/>
              </w:rPr>
              <w:t>البنية التحتية (الاستضافة، الاتصالات، أمن المعلومات)</w:t>
            </w:r>
          </w:p>
        </w:tc>
        <w:tc>
          <w:tcPr>
            <w:tcW w:type="dxa" w:w="4320"/>
          </w:tcPr>
          <w:p>
            <w:r>
              <w:rPr>
                <w:sz w:val="17"/>
              </w:rPr>
            </w:r>
            <w:r>
              <w:rPr>
                <w:sz w:val="17"/>
              </w:rPr>
              <w:t>117</w:t>
            </w:r>
          </w:p>
        </w:tc>
      </w:tr>
      <w:tr>
        <w:tc>
          <w:tcPr>
            <w:tcW w:type="dxa" w:w="4320"/>
          </w:tcPr>
          <w:p>
            <w:r>
              <w:rPr>
                <w:sz w:val="17"/>
              </w:rPr>
            </w:r>
            <w:r>
              <w:rPr>
                <w:sz w:val="17"/>
              </w:rPr>
              <w:t>تراخيص البرمجيات</w:t>
            </w:r>
          </w:p>
        </w:tc>
        <w:tc>
          <w:tcPr>
            <w:tcW w:type="dxa" w:w="4320"/>
          </w:tcPr>
          <w:p>
            <w:r>
              <w:rPr>
                <w:sz w:val="17"/>
              </w:rPr>
            </w:r>
            <w:r>
              <w:rPr>
                <w:sz w:val="17"/>
              </w:rPr>
              <w:t>50</w:t>
            </w:r>
          </w:p>
        </w:tc>
      </w:tr>
      <w:tr>
        <w:tc>
          <w:tcPr>
            <w:tcW w:type="dxa" w:w="4320"/>
          </w:tcPr>
          <w:p>
            <w:r>
              <w:rPr>
                <w:sz w:val="17"/>
              </w:rPr>
            </w:r>
            <w:r>
              <w:rPr>
                <w:sz w:val="17"/>
              </w:rPr>
              <w:t>التسويق</w:t>
            </w:r>
          </w:p>
        </w:tc>
        <w:tc>
          <w:tcPr>
            <w:tcW w:type="dxa" w:w="4320"/>
          </w:tcPr>
          <w:p>
            <w:r>
              <w:rPr>
                <w:sz w:val="17"/>
              </w:rPr>
            </w:r>
            <w:r>
              <w:rPr>
                <w:sz w:val="17"/>
              </w:rPr>
              <w:t>60</w:t>
            </w:r>
          </w:p>
        </w:tc>
      </w:tr>
      <w:tr>
        <w:tc>
          <w:tcPr>
            <w:tcW w:type="dxa" w:w="4320"/>
          </w:tcPr>
          <w:p>
            <w:r>
              <w:rPr>
                <w:sz w:val="17"/>
              </w:rPr>
            </w:r>
            <w:r>
              <w:rPr>
                <w:sz w:val="17"/>
              </w:rPr>
              <w:t>الدعم القانوني والتدقيق</w:t>
            </w:r>
          </w:p>
        </w:tc>
        <w:tc>
          <w:tcPr>
            <w:tcW w:type="dxa" w:w="4320"/>
          </w:tcPr>
          <w:p>
            <w:r>
              <w:rPr>
                <w:sz w:val="17"/>
              </w:rPr>
            </w:r>
            <w:r>
              <w:rPr>
                <w:sz w:val="17"/>
              </w:rPr>
              <w:t>70</w:t>
            </w:r>
          </w:p>
        </w:tc>
      </w:tr>
      <w:tr>
        <w:tc>
          <w:tcPr>
            <w:tcW w:type="dxa" w:w="4320"/>
          </w:tcPr>
          <w:p>
            <w:r>
              <w:rPr>
                <w:sz w:val="17"/>
              </w:rPr>
            </w:r>
            <w:r>
              <w:rPr>
                <w:sz w:val="17"/>
              </w:rPr>
              <w:t>الأمن السيبراني (مركز المراقبة، اختبارات الاختراق)</w:t>
            </w:r>
          </w:p>
        </w:tc>
        <w:tc>
          <w:tcPr>
            <w:tcW w:type="dxa" w:w="4320"/>
          </w:tcPr>
          <w:p>
            <w:r>
              <w:rPr>
                <w:sz w:val="17"/>
              </w:rPr>
            </w:r>
            <w:r>
              <w:rPr>
                <w:sz w:val="17"/>
              </w:rPr>
              <w:t>50</w:t>
            </w:r>
          </w:p>
        </w:tc>
      </w:tr>
      <w:tr>
        <w:tc>
          <w:tcPr>
            <w:tcW w:type="dxa" w:w="4320"/>
          </w:tcPr>
          <w:p>
            <w:r>
              <w:rPr>
                <w:sz w:val="17"/>
              </w:rPr>
            </w:r>
            <w:r>
              <w:rPr>
                <w:sz w:val="17"/>
              </w:rPr>
              <w:t>المُكاملون</w:t>
            </w:r>
          </w:p>
        </w:tc>
        <w:tc>
          <w:tcPr>
            <w:tcW w:type="dxa" w:w="4320"/>
          </w:tcPr>
          <w:p>
            <w:r>
              <w:rPr>
                <w:sz w:val="17"/>
              </w:rPr>
            </w:r>
            <w:r>
              <w:rPr>
                <w:sz w:val="17"/>
              </w:rPr>
              <w:t>95</w:t>
            </w:r>
          </w:p>
        </w:tc>
      </w:tr>
      <w:tr>
        <w:tc>
          <w:tcPr>
            <w:tcW w:type="dxa" w:w="4320"/>
          </w:tcPr>
          <w:p>
            <w:r>
              <w:rPr>
                <w:sz w:val="17"/>
              </w:rPr>
            </w:r>
            <w:r>
              <w:rPr>
                <w:sz w:val="17"/>
              </w:rPr>
              <w:t>أخرى</w:t>
            </w:r>
          </w:p>
        </w:tc>
        <w:tc>
          <w:tcPr>
            <w:tcW w:type="dxa" w:w="4320"/>
          </w:tcPr>
          <w:p>
            <w:r>
              <w:rPr>
                <w:sz w:val="17"/>
              </w:rPr>
            </w:r>
            <w:r>
              <w:rPr>
                <w:sz w:val="17"/>
              </w:rPr>
              <w:t>60</w:t>
            </w:r>
          </w:p>
        </w:tc>
      </w:tr>
      <w:tr>
        <w:tc>
          <w:tcPr>
            <w:tcW w:type="dxa" w:w="4320"/>
          </w:tcPr>
          <w:p>
            <w:r>
              <w:rPr>
                <w:sz w:val="17"/>
              </w:rPr>
            </w:r>
            <w:r>
              <w:rPr>
                <w:b/>
                <w:sz w:val="17"/>
              </w:rPr>
              <w:t>الإجمالي</w:t>
            </w:r>
          </w:p>
        </w:tc>
        <w:tc>
          <w:tcPr>
            <w:tcW w:type="dxa" w:w="4320"/>
          </w:tcPr>
          <w:p>
            <w:r>
              <w:rPr>
                <w:sz w:val="17"/>
              </w:rPr>
            </w:r>
            <w:r>
              <w:rPr>
                <w:b/>
                <w:sz w:val="17"/>
              </w:rPr>
              <w:t>502</w:t>
            </w:r>
          </w:p>
        </w:tc>
      </w:tr>
    </w:tbl>
    <w:p/>
    <w:p>
      <w:pPr>
        <w:jc w:val="both"/>
      </w:pPr>
      <w:r>
        <w:t>ويغطي الجزء المتغير البالغ 22% من الإيراد المدفوعات، والبنية التحتية تحت الحمل، والامتثال، والدعم القانوني للحجم، واستقطاب العملاء. وقد عُوير المستوى بحيث يقع هامش سنة النضج ضمن نطاق مشغّلي البنية التحتية المماثلين (65–75%). والنتيجة 75.1% في 2036.</w:t>
      </w:r>
    </w:p>
    <w:p>
      <w:pPr>
        <w:ind w:left="360"/>
      </w:pPr>
      <w:r>
        <w:rPr>
          <w:i/>
          <w:color w:val="444444"/>
        </w:rPr>
        <w:t>في الإصدار السابق لم تكن الأجور مشتقة من عدد الموظفين: فسطر 2029 كان يوافق نحو ضعف العدد المعلن، وسطر 2026 نحو نصفه. وفي الوقت نفسه لم يكن إجمالي مصروفات السنة الثانية (820 مليون روبل) يغطي حتى أجور الأشخاص المعلَنين البالغ عددهم 120 (695 مليون روبل)، فلم يتبقَّ لكل ما عداها سوى 125 مليون روبل مقابل 502 مليون روبل في السنة السابقة.</w:t>
      </w:r>
    </w:p>
    <w:p>
      <w:pPr>
        <w:jc w:val="both"/>
      </w:pPr>
      <w:r>
        <w:rPr>
          <w:b/>
        </w:rPr>
        <w:t>ما لا تتضمنه المصروفات.</w:t>
      </w:r>
      <w:r>
        <w:t xml:space="preserve"> لا سطر مستقل لاستقطاب العملاء؛ ولا متطلبات رأسمال لمشغّل نظام المعلومات؛ ولا احتياطيات. وهذا قيد في النموذج لا استنتاج بأن هذه التكاليف لن تنشأ.</w:t>
      </w:r>
    </w:p>
    <w:p>
      <w:pPr>
        <w:pStyle w:val="Heading2"/>
      </w:pPr>
      <w:r>
        <w:t>5. الضرائب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المعطى</w:t>
            </w:r>
          </w:p>
        </w:tc>
        <w:tc>
          <w:tcPr>
            <w:tcW w:type="dxa" w:w="2880"/>
          </w:tcPr>
          <w:p>
            <w:r>
              <w:rPr>
                <w:b/>
                <w:sz w:val="17"/>
              </w:rPr>
            </w:r>
            <w:r>
              <w:rPr>
                <w:b/>
                <w:sz w:val="17"/>
              </w:rPr>
              <w:t>القيمة</w:t>
            </w:r>
          </w:p>
        </w:tc>
        <w:tc>
          <w:tcPr>
            <w:tcW w:type="dxa" w:w="2880"/>
          </w:tcPr>
          <w:p>
            <w:r>
              <w:rPr>
                <w:b/>
                <w:sz w:val="17"/>
              </w:rPr>
            </w:r>
            <w:r>
              <w:rPr>
                <w:b/>
                <w:sz w:val="17"/>
              </w:rPr>
              <w:t>الأساس</w:t>
            </w:r>
          </w:p>
        </w:tc>
      </w:tr>
      <w:tr>
        <w:tc>
          <w:tcPr>
            <w:tcW w:type="dxa" w:w="2880"/>
          </w:tcPr>
          <w:p>
            <w:r>
              <w:rPr>
                <w:sz w:val="17"/>
              </w:rPr>
            </w:r>
            <w:r>
              <w:rPr>
                <w:sz w:val="17"/>
              </w:rPr>
              <w:t>ضريبة الأرباح</w:t>
            </w:r>
          </w:p>
        </w:tc>
        <w:tc>
          <w:tcPr>
            <w:tcW w:type="dxa" w:w="2880"/>
          </w:tcPr>
          <w:p>
            <w:r>
              <w:rPr>
                <w:sz w:val="17"/>
              </w:rPr>
            </w:r>
            <w:r>
              <w:rPr>
                <w:sz w:val="17"/>
              </w:rPr>
              <w:t>25%</w:t>
            </w:r>
          </w:p>
        </w:tc>
        <w:tc>
          <w:tcPr>
            <w:tcW w:type="dxa" w:w="2880"/>
          </w:tcPr>
          <w:p>
            <w:r>
              <w:rPr>
                <w:sz w:val="17"/>
              </w:rPr>
            </w:r>
            <w:r>
              <w:rPr>
                <w:sz w:val="17"/>
              </w:rPr>
              <w:t>القانون الاتحادي 176-FZ بتاريخ 12.07.2024، ساري من 01.01.2025</w:t>
            </w:r>
          </w:p>
        </w:tc>
      </w:tr>
      <w:tr>
        <w:tc>
          <w:tcPr>
            <w:tcW w:type="dxa" w:w="2880"/>
          </w:tcPr>
          <w:p>
            <w:r>
              <w:rPr>
                <w:sz w:val="17"/>
              </w:rPr>
            </w:r>
            <w:r>
              <w:rPr>
                <w:sz w:val="17"/>
              </w:rPr>
              <w:t>ترحيل خسائر السنوات السابقة</w:t>
            </w:r>
          </w:p>
        </w:tc>
        <w:tc>
          <w:tcPr>
            <w:tcW w:type="dxa" w:w="2880"/>
          </w:tcPr>
          <w:p>
            <w:r>
              <w:rPr>
                <w:sz w:val="17"/>
              </w:rPr>
            </w:r>
            <w:r>
              <w:rPr>
                <w:sz w:val="17"/>
              </w:rPr>
              <w:t>حتى 50% من الوعاء الضريبي</w:t>
            </w:r>
          </w:p>
        </w:tc>
        <w:tc>
          <w:tcPr>
            <w:tcW w:type="dxa" w:w="2880"/>
          </w:tcPr>
          <w:p>
            <w:r>
              <w:rPr>
                <w:sz w:val="17"/>
              </w:rPr>
            </w:r>
            <w:r>
              <w:rPr>
                <w:sz w:val="17"/>
              </w:rPr>
              <w:t>المادة 283 من قانون الضرائب</w:t>
            </w:r>
          </w:p>
        </w:tc>
      </w:tr>
      <w:tr>
        <w:tc>
          <w:tcPr>
            <w:tcW w:type="dxa" w:w="2880"/>
          </w:tcPr>
          <w:p>
            <w:r>
              <w:rPr>
                <w:sz w:val="17"/>
              </w:rPr>
            </w:r>
            <w:r>
              <w:rPr>
                <w:sz w:val="17"/>
              </w:rPr>
              <w:t>اشتراكات التأمين</w:t>
            </w:r>
          </w:p>
        </w:tc>
        <w:tc>
          <w:tcPr>
            <w:tcW w:type="dxa" w:w="2880"/>
          </w:tcPr>
          <w:p>
            <w:r>
              <w:rPr>
                <w:sz w:val="17"/>
              </w:rPr>
            </w:r>
            <w:r>
              <w:rPr>
                <w:sz w:val="17"/>
              </w:rPr>
              <w:t>30%</w:t>
            </w:r>
          </w:p>
        </w:tc>
        <w:tc>
          <w:tcPr>
            <w:tcW w:type="dxa" w:w="2880"/>
          </w:tcPr>
          <w:p>
            <w:r>
              <w:rPr>
                <w:sz w:val="17"/>
              </w:rPr>
            </w:r>
            <w:r>
              <w:rPr>
                <w:sz w:val="17"/>
              </w:rPr>
              <w:t>الفصل 34 من قانون الضرائب</w:t>
            </w:r>
          </w:p>
        </w:tc>
      </w:tr>
    </w:tbl>
    <w:p/>
    <w:p>
      <w:pPr>
        <w:jc w:val="both"/>
      </w:pPr>
      <w:r>
        <w:t>استخدمت الإصدارات السابقة معدل 20% — وقد توقّف سريانه اعتباراً من 2025.</w:t>
      </w:r>
    </w:p>
    <w:p>
      <w:pPr>
        <w:jc w:val="both"/>
      </w:pPr>
      <w:r>
        <w:t>أما الإعفاء الضريبي لمنظمات تقنية المعلومات المعتمدة والاشتراكات المخفّضة فغير مُدرجَين في السيناريو الأساسي: فهما إمكانية لا افتراض.</w:t>
      </w:r>
    </w:p>
    <w:p>
      <w:pPr>
        <w:jc w:val="both"/>
      </w:pPr>
      <w:r>
        <w:rPr>
          <w:b/>
        </w:rPr>
        <w:t>ضريبة القيمة المضافة.</w:t>
      </w:r>
      <w:r>
        <w:t xml:space="preserve"> لا تخضع العمليات على الأصول المالية الرقمية لضريبة القيمة المضافة: إذ تُصنَّف هذه الأصول ضمن الأوراق المالية، وبيع الأوراق المالية معفى (البند الفرعي 12 من الفقرة 2 من المادة 149 من قانون الضرائب). وقد أكّد مالك المشروع هذا الموقف بتاريخ 07.09.2026.</w:t>
      </w:r>
    </w:p>
    <w:p>
      <w:pPr>
        <w:pStyle w:val="Heading2"/>
      </w:pPr>
      <w:r>
        <w:t>6. معدل الخصم</w:t>
      </w:r>
    </w:p>
    <w:p>
      <w:pPr>
        <w:jc w:val="both"/>
      </w:pPr>
      <w:r>
        <w:t>طريقة البناء هي تراكم علاوات المخاطر فوق المعدل الخالي من المخاطر بالروبل.</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المكوّن</w:t>
            </w:r>
          </w:p>
        </w:tc>
        <w:tc>
          <w:tcPr>
            <w:tcW w:type="dxa" w:w="2880"/>
          </w:tcPr>
          <w:p>
            <w:r>
              <w:rPr>
                <w:b/>
                <w:sz w:val="17"/>
              </w:rPr>
            </w:r>
            <w:r>
              <w:rPr>
                <w:b/>
                <w:sz w:val="17"/>
              </w:rPr>
              <w:t>القيمة</w:t>
            </w:r>
          </w:p>
        </w:tc>
        <w:tc>
          <w:tcPr>
            <w:tcW w:type="dxa" w:w="2880"/>
          </w:tcPr>
          <w:p>
            <w:r>
              <w:rPr>
                <w:b/>
                <w:sz w:val="17"/>
              </w:rPr>
            </w:r>
            <w:r>
              <w:rPr>
                <w:b/>
                <w:sz w:val="17"/>
              </w:rPr>
              <w:t>المصدر</w:t>
            </w:r>
          </w:p>
        </w:tc>
      </w:tr>
      <w:tr>
        <w:tc>
          <w:tcPr>
            <w:tcW w:type="dxa" w:w="2880"/>
          </w:tcPr>
          <w:p>
            <w:r>
              <w:rPr>
                <w:sz w:val="17"/>
              </w:rPr>
            </w:r>
            <w:r>
              <w:rPr>
                <w:sz w:val="17"/>
              </w:rPr>
              <w:t>المعدل الخالي من المخاطر (OFZ لعشر سنوات)</w:t>
            </w:r>
          </w:p>
        </w:tc>
        <w:tc>
          <w:tcPr>
            <w:tcW w:type="dxa" w:w="2880"/>
          </w:tcPr>
          <w:p>
            <w:r>
              <w:rPr>
                <w:sz w:val="17"/>
              </w:rPr>
            </w:r>
            <w:r>
              <w:rPr>
                <w:sz w:val="17"/>
              </w:rPr>
              <w:t>14.73%</w:t>
            </w:r>
          </w:p>
        </w:tc>
        <w:tc>
          <w:tcPr>
            <w:tcW w:type="dxa" w:w="2880"/>
          </w:tcPr>
          <w:p>
            <w:r>
              <w:rPr>
                <w:sz w:val="17"/>
              </w:rPr>
            </w:r>
            <w:r>
              <w:rPr>
                <w:sz w:val="17"/>
              </w:rPr>
              <w:t>بيانات السوق بتاريخ 21.05.2026</w:t>
            </w:r>
          </w:p>
        </w:tc>
      </w:tr>
      <w:tr>
        <w:tc>
          <w:tcPr>
            <w:tcW w:type="dxa" w:w="2880"/>
          </w:tcPr>
          <w:p>
            <w:r>
              <w:rPr>
                <w:sz w:val="17"/>
              </w:rPr>
            </w:r>
            <w:r>
              <w:rPr>
                <w:sz w:val="17"/>
              </w:rPr>
              <w:t>علاوة مخاطر الأسهم × بيتا (8.13% × 1.15)</w:t>
            </w:r>
          </w:p>
        </w:tc>
        <w:tc>
          <w:tcPr>
            <w:tcW w:type="dxa" w:w="2880"/>
          </w:tcPr>
          <w:p>
            <w:r>
              <w:rPr>
                <w:sz w:val="17"/>
              </w:rPr>
            </w:r>
            <w:r>
              <w:rPr>
                <w:sz w:val="17"/>
              </w:rPr>
              <w:t>9.35%</w:t>
            </w:r>
          </w:p>
        </w:tc>
        <w:tc>
          <w:tcPr>
            <w:tcW w:type="dxa" w:w="2880"/>
          </w:tcPr>
          <w:p>
            <w:r>
              <w:rPr>
                <w:sz w:val="17"/>
              </w:rPr>
            </w:r>
            <w:r>
              <w:rPr>
                <w:sz w:val="17"/>
              </w:rPr>
              <w:t>Damodaran</w:t>
            </w:r>
          </w:p>
        </w:tc>
      </w:tr>
      <w:tr>
        <w:tc>
          <w:tcPr>
            <w:tcW w:type="dxa" w:w="2880"/>
          </w:tcPr>
          <w:p>
            <w:r>
              <w:rPr>
                <w:sz w:val="17"/>
              </w:rPr>
            </w:r>
            <w:r>
              <w:rPr>
                <w:sz w:val="17"/>
              </w:rPr>
              <w:t>علاوة المرحلة</w:t>
            </w:r>
          </w:p>
        </w:tc>
        <w:tc>
          <w:tcPr>
            <w:tcW w:type="dxa" w:w="2880"/>
          </w:tcPr>
          <w:p>
            <w:r>
              <w:rPr>
                <w:sz w:val="17"/>
              </w:rPr>
            </w:r>
            <w:r>
              <w:rPr>
                <w:sz w:val="17"/>
              </w:rPr>
              <w:t>2.50%</w:t>
            </w:r>
          </w:p>
        </w:tc>
        <w:tc>
          <w:tcPr>
            <w:tcW w:type="dxa" w:w="2880"/>
          </w:tcPr>
          <w:p>
            <w:r>
              <w:rPr>
                <w:sz w:val="17"/>
              </w:rPr>
            </w:r>
            <w:r>
              <w:rPr>
                <w:sz w:val="17"/>
              </w:rPr>
              <w:t>IPEV Guidelines</w:t>
            </w:r>
          </w:p>
        </w:tc>
      </w:tr>
      <w:tr>
        <w:tc>
          <w:tcPr>
            <w:tcW w:type="dxa" w:w="2880"/>
          </w:tcPr>
          <w:p>
            <w:r>
              <w:rPr>
                <w:sz w:val="17"/>
              </w:rPr>
            </w:r>
            <w:r>
              <w:rPr>
                <w:sz w:val="17"/>
              </w:rPr>
              <w:t>علاوة عدم السيولة</w:t>
            </w:r>
          </w:p>
        </w:tc>
        <w:tc>
          <w:tcPr>
            <w:tcW w:type="dxa" w:w="2880"/>
          </w:tcPr>
          <w:p>
            <w:r>
              <w:rPr>
                <w:sz w:val="17"/>
              </w:rPr>
            </w:r>
            <w:r>
              <w:rPr>
                <w:sz w:val="17"/>
              </w:rPr>
              <w:t>3.00%</w:t>
            </w:r>
          </w:p>
        </w:tc>
        <w:tc>
          <w:tcPr>
            <w:tcW w:type="dxa" w:w="2880"/>
          </w:tcPr>
          <w:p>
            <w:r>
              <w:rPr>
                <w:sz w:val="17"/>
              </w:rPr>
            </w:r>
            <w:r>
              <w:rPr>
                <w:sz w:val="17"/>
              </w:rPr>
              <w:t>IPEV Guidelines</w:t>
            </w:r>
          </w:p>
        </w:tc>
      </w:tr>
      <w:tr>
        <w:tc>
          <w:tcPr>
            <w:tcW w:type="dxa" w:w="2880"/>
          </w:tcPr>
          <w:p>
            <w:r>
              <w:rPr>
                <w:sz w:val="17"/>
              </w:rPr>
            </w:r>
            <w:r>
              <w:rPr>
                <w:b/>
                <w:sz w:val="17"/>
              </w:rPr>
              <w:t>الإجمالي</w:t>
            </w:r>
          </w:p>
        </w:tc>
        <w:tc>
          <w:tcPr>
            <w:tcW w:type="dxa" w:w="2880"/>
          </w:tcPr>
          <w:p>
            <w:r>
              <w:rPr>
                <w:sz w:val="17"/>
              </w:rPr>
            </w:r>
            <w:r>
              <w:rPr>
                <w:b/>
                <w:sz w:val="17"/>
              </w:rPr>
              <w:t>29.58%</w:t>
            </w:r>
          </w:p>
        </w:tc>
        <w:tc>
          <w:tcPr>
            <w:tcW w:type="dxa" w:w="2880"/>
          </w:tcPr>
          <w:p>
            <w:r>
              <w:rPr>
                <w:sz w:val="17"/>
              </w:rPr>
            </w:r>
          </w:p>
        </w:tc>
      </w:tr>
    </w:tbl>
    <w:p/>
    <w:p>
      <w:pPr>
        <w:jc w:val="both"/>
      </w:pPr>
      <w:r>
        <w:t>ولا تُضاف علاوة مخاطر قُطرية على حدة: فهي متضمَّنة أصلاً في المعدل الخالي من المخاطر بالروبل، وإضافتها طبقةً ثانية ازدواج في الحساب.</w:t>
      </w:r>
    </w:p>
    <w:p>
      <w:pPr>
        <w:jc w:val="both"/>
      </w:pPr>
      <w:r>
        <w:t>والنطاق القابل للدفاع 27–33%؛ وهو المعتمد نطاقاً للحساسية.</w:t>
      </w:r>
    </w:p>
    <w:p>
      <w:pPr>
        <w:ind w:left="360"/>
      </w:pPr>
      <w:r>
        <w:rPr>
          <w:i/>
          <w:color w:val="444444"/>
        </w:rPr>
        <w:t>في الإصدار السابق ورد الحساب نفسه في وثيقتين بمكوّنات مختلفة (2.5% + 3.0% مقابل 1.5% + 2.5%) وبعلاوة مخاطر أسهم مختلفة (8.13% مقابل 9%)، بينما ذكر موضع واحد صراحةً أن «السيناريو الأساسي يستخدم 30%». ومع ذلك ذُكر الرقم النهائي في كل مكان بأنه 29.5%.</w:t>
      </w:r>
    </w:p>
    <w:p>
      <w:pPr>
        <w:pStyle w:val="Heading2"/>
      </w:pPr>
      <w:r>
        <w:t>7. القيمة النهائية</w:t>
      </w:r>
    </w:p>
    <w:p>
      <w:pPr>
        <w:jc w:val="both"/>
      </w:pPr>
      <w:r>
        <w:t>طريقة واحدة — نموذج غوردون على تدفق نقدي مُطبَّع:</w:t>
      </w:r>
    </w:p>
    <w:p>
      <w:pPr>
        <w:pStyle w:val="ListBullet"/>
      </w:pPr>
      <w:r>
        <w:t>في الحالة المستقرة تُساوى النفقات الرأسمالية بالإهلاك؛</w:t>
      </w:r>
    </w:p>
    <w:p>
      <w:pPr>
        <w:pStyle w:val="ListBullet"/>
      </w:pPr>
      <w:r>
        <w:t>الزيادة في رأس المال العامل تساوي معدل النمو مضروباً في رأس المال العامل؛</w:t>
      </w:r>
    </w:p>
    <w:p>
      <w:pPr>
        <w:pStyle w:val="ListBullet"/>
      </w:pPr>
      <w:r>
        <w:t>معدل النمو g = 4% اسمي، مساوٍ لمستهدف التضخم، أي نمو حقيقي صفري.</w:t>
      </w:r>
    </w:p>
    <w:p>
      <w:pPr>
        <w:jc w:val="both"/>
      </w:pPr>
      <w:r>
        <w:t>وحصة القيمة النهائية من التقييم 38%. وهذا ضمن المعتاد لمنشأة بنية تحتية نامية، لكنه عند الحد الأعلى؛ وعند التحاور مع مستثمر ينبغي ذكر هذه الحصة صراحةً.</w:t>
      </w:r>
    </w:p>
    <w:p>
      <w:pPr>
        <w:ind w:left="360"/>
      </w:pPr>
      <w:r>
        <w:rPr>
          <w:i/>
          <w:color w:val="444444"/>
        </w:rPr>
        <w:t>استخدمت الإصدارات السابقة ثلاثة مداخل غير متوافقة في آنٍ واحد: نموذج غوردون أحادي المرحلة بمعدل نمو 2% في النموذج المالي، ونموذجاً ثلاثي المراحل في جدول الحساب، ومعدل 4% في خطة العمل. وقد أقرّ تحليل 10.06.2026 بأن القيمة النهائية كانت مبخوسة نحو ثلاثة أضعاف، لكن التصحيح أُدخل في النص فقط لا في الحساب.</w:t>
      </w:r>
    </w:p>
    <w:p>
      <w:pPr>
        <w:pStyle w:val="Heading2"/>
      </w:pPr>
      <w:r>
        <w:t>8. رأس المال العامل</w:t>
      </w:r>
    </w:p>
    <w:p>
      <w:pPr>
        <w:jc w:val="both"/>
      </w:pPr>
      <w:r>
        <w:t>5% من الإيراد — افتراض معتاد للمشغّلين الماليين (أنظمة الدفع في روسيا 3–7%، وجهات الإيداع 5–10%).</w:t>
      </w:r>
    </w:p>
    <w:p>
      <w:pPr>
        <w:pStyle w:val="Heading2"/>
      </w:pPr>
      <w:r>
        <w:t>9. الحساسية والمحاكاة</w:t>
      </w:r>
    </w:p>
    <w:p>
      <w:pPr>
        <w:jc w:val="both"/>
      </w:pPr>
      <w:r>
        <w:t>تُحسبان برمجياً:</w:t>
      </w:r>
    </w:p>
    <w:p>
      <w:pPr>
        <w:pStyle w:val="ListBullet"/>
      </w:pPr>
      <w:r>
        <w:t>معدل الخصم × الحصة السوقية (شبكة 5 × 5)؛</w:t>
      </w:r>
    </w:p>
    <w:p>
      <w:pPr>
        <w:pStyle w:val="ListBullet"/>
      </w:pPr>
      <w:r>
        <w:t>انحراف المصروفات التشغيلية من −10% إلى +30%؛</w:t>
      </w:r>
    </w:p>
    <w:p>
      <w:pPr>
        <w:pStyle w:val="ListBullet"/>
      </w:pPr>
      <w:r>
        <w:t>تأخر الإطلاق 0/1/2/3 سنوات؛</w:t>
      </w:r>
    </w:p>
    <w:p>
      <w:pPr>
        <w:pStyle w:val="ListBullet"/>
      </w:pPr>
      <w:r>
        <w:t>المحاكاة، 2,000 تكرار، مولّد ببذرة ثابتة — النتيجة قابلة لإعادة الإنتاج.</w:t>
      </w:r>
    </w:p>
    <w:p>
      <w:pPr>
        <w:jc w:val="both"/>
      </w:pPr>
      <w:r>
        <w:t>الخلاصة الرئيسية لتحليل الحساسية: المصروفات لا تكاد تؤثر في القيمة (ارتفاعها 30% يغيّرها 8%)، بينما المواعيد حاسمة (سنة تأخير تكلّف ربع القيمة).</w:t>
      </w:r>
    </w:p>
    <w:p>
      <w:pPr>
        <w:ind w:left="360"/>
      </w:pPr>
      <w:r>
        <w:rPr>
          <w:i/>
          <w:color w:val="444444"/>
        </w:rPr>
        <w:t>ذكرت الإصدارات السابقة نتائج محاكاة — وسيطاً قدره 94 مليار روبل، ونطاق P10–P90 من 42 إلى 168 مليار روبل، واحتمال قيمة سالبة 4.2% — بينما لم يكن مثل هذا الحساب موجوداً؛ وفي وثيقتين اختلفت القيم ذاتها (وسيط 91 مقابل 94). أما الآن فالمحاكاة تُنفَّذ فعلاً، ووسيطها 39.2 مليار روبل: إذ تأخذ في الحسبان احتمال تأخر الإطلاق، وهو ما لم يكن في التقديرات السابقة.</w:t>
      </w:r>
    </w:p>
    <w:p>
      <w:pPr>
        <w:pStyle w:val="Heading2"/>
      </w:pPr>
      <w:r>
        <w:t>10. ما لا يتضمنه النموذج ولماذا</w:t>
      </w:r>
    </w:p>
    <w:p>
      <w:pPr>
        <w:pStyle w:val="ListNumber"/>
      </w:pPr>
      <w:r>
        <w:rPr>
          <w:b/>
        </w:rPr>
        <w:t>الإعانات الحكومية</w:t>
      </w:r>
      <w:r>
        <w:t xml:space="preserve"> — إمكانية لا افتراض.</w:t>
      </w:r>
    </w:p>
    <w:p>
      <w:pPr>
        <w:pStyle w:val="ListNumber"/>
      </w:pPr>
      <w:r>
        <w:rPr>
          <w:b/>
        </w:rPr>
        <w:t>التمويل بالدين</w:t>
      </w:r>
      <w:r>
        <w:t xml:space="preserve"> — النموذج على حقوق الملكية فقط؛ والهيكل المختلط يمنح درعاً ضريبياً.</w:t>
      </w:r>
    </w:p>
    <w:p>
      <w:pPr>
        <w:pStyle w:val="ListNumber"/>
      </w:pPr>
      <w:r>
        <w:rPr>
          <w:b/>
        </w:rPr>
        <w:t>مخاطر العملة</w:t>
      </w:r>
      <w:r>
        <w:t xml:space="preserve"> — جميع التدفقات بالروبل.</w:t>
      </w:r>
    </w:p>
    <w:p>
      <w:pPr>
        <w:pStyle w:val="ListNumber"/>
      </w:pPr>
      <w:r>
        <w:rPr>
          <w:b/>
        </w:rPr>
        <w:t>المنافسة على الرهن</w:t>
      </w:r>
      <w:r>
        <w:t xml:space="preserve"> — يفترض السيناريو الأساسي تفرّد الفئة في السنوات الأولى؛ والمخاطرة مغطاة بالسيناريو المحافظ.</w:t>
      </w:r>
    </w:p>
    <w:p>
      <w:pPr>
        <w:pStyle w:val="ListNumber"/>
      </w:pPr>
      <w:r>
        <w:rPr>
          <w:b/>
        </w:rPr>
        <w:t>رفض الجهة التنظيمية</w:t>
      </w:r>
      <w:r>
        <w:t xml:space="preserve"> — مبيّن في </w:t>
      </w:r>
      <w:r>
        <w:rPr>
          <w:rFonts w:ascii="Consolas" w:hAnsi="Consolas"/>
          <w:sz w:val="18"/>
        </w:rPr>
        <w:t>04_Бизнес-план/Wedge_pilot-light.md</w:t>
      </w:r>
      <w:r>
        <w:t>؛ وفي هذه الحالة يُطبَّق السيناريو المحافظ (قيمة المشروع 20.1 مليار روبل).</w:t>
      </w:r>
    </w:p>
    <w:p>
      <w:pPr>
        <w:pStyle w:val="ListNumber"/>
      </w:pPr>
      <w:r>
        <w:rPr>
          <w:b/>
        </w:rPr>
        <w:t>متطلبات رأسمال مشغّل نظام المعلومات</w:t>
      </w:r>
      <w:r>
        <w:t xml:space="preserve"> — غير مُنمذَجة، وتحتاج إلى تحقق وفق القانون الاتحادي 259-FZ ولوائح بنك روسيا.</w:t>
      </w:r>
    </w:p>
    <w:p>
      <w:pPr>
        <w:pStyle w:val="ListNumber"/>
      </w:pPr>
      <w:r>
        <w:rPr>
          <w:b/>
        </w:rPr>
        <w:t>تكلفة استقطاب العميل</w:t>
      </w:r>
      <w:r>
        <w:t xml:space="preserve"> — غير مفردة في سطر مستقل.</w:t>
      </w:r>
    </w:p>
    <w:p>
      <w:pPr>
        <w:pStyle w:val="Heading2"/>
      </w:pPr>
      <w:r>
        <w:t>11. المصادر</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البيانات</w:t>
            </w:r>
          </w:p>
        </w:tc>
        <w:tc>
          <w:tcPr>
            <w:tcW w:type="dxa" w:w="4320"/>
          </w:tcPr>
          <w:p>
            <w:r>
              <w:rPr>
                <w:b/>
                <w:sz w:val="17"/>
              </w:rPr>
            </w:r>
            <w:r>
              <w:rPr>
                <w:b/>
                <w:sz w:val="17"/>
              </w:rPr>
              <w:t>المصدر</w:t>
            </w:r>
          </w:p>
        </w:tc>
      </w:tr>
      <w:tr>
        <w:tc>
          <w:tcPr>
            <w:tcW w:type="dxa" w:w="4320"/>
          </w:tcPr>
          <w:p>
            <w:r>
              <w:rPr>
                <w:sz w:val="17"/>
              </w:rPr>
            </w:r>
            <w:r>
              <w:rPr>
                <w:sz w:val="17"/>
              </w:rPr>
              <w:t>الطاقة الرهنية</w:t>
            </w:r>
          </w:p>
        </w:tc>
        <w:tc>
          <w:tcPr>
            <w:tcW w:type="dxa" w:w="4320"/>
          </w:tcPr>
          <w:p>
            <w:r>
              <w:rPr>
                <w:sz w:val="17"/>
              </w:rPr>
            </w:r>
            <w:r>
              <w:rPr>
                <w:sz w:val="17"/>
              </w:rPr>
              <w:t>مفهوم المؤلف</w:t>
            </w:r>
          </w:p>
        </w:tc>
      </w:tr>
      <w:tr>
        <w:tc>
          <w:tcPr>
            <w:tcW w:type="dxa" w:w="4320"/>
          </w:tcPr>
          <w:p>
            <w:r>
              <w:rPr>
                <w:sz w:val="17"/>
              </w:rPr>
            </w:r>
            <w:r>
              <w:rPr>
                <w:sz w:val="17"/>
              </w:rPr>
              <w:t>المخزون السكني الروسي</w:t>
            </w:r>
          </w:p>
        </w:tc>
        <w:tc>
          <w:tcPr>
            <w:tcW w:type="dxa" w:w="4320"/>
          </w:tcPr>
          <w:p>
            <w:r>
              <w:rPr>
                <w:sz w:val="17"/>
              </w:rPr>
            </w:r>
            <w:r>
              <w:rPr>
                <w:sz w:val="17"/>
              </w:rPr>
              <w:t>Rosstat، النموذج رقم 1-жилфонд</w:t>
            </w:r>
          </w:p>
        </w:tc>
      </w:tr>
      <w:tr>
        <w:tc>
          <w:tcPr>
            <w:tcW w:type="dxa" w:w="4320"/>
          </w:tcPr>
          <w:p>
            <w:r>
              <w:rPr>
                <w:sz w:val="17"/>
              </w:rPr>
            </w:r>
            <w:r>
              <w:rPr>
                <w:sz w:val="17"/>
              </w:rPr>
              <w:t>معدلات الضرائب</w:t>
            </w:r>
          </w:p>
        </w:tc>
        <w:tc>
          <w:tcPr>
            <w:tcW w:type="dxa" w:w="4320"/>
          </w:tcPr>
          <w:p>
            <w:r>
              <w:rPr>
                <w:sz w:val="17"/>
              </w:rPr>
            </w:r>
            <w:r>
              <w:rPr>
                <w:sz w:val="17"/>
              </w:rPr>
              <w:t>قانون الضرائب؛ القانون الاتحادي 176-FZ بتاريخ 12.07.2024</w:t>
            </w:r>
          </w:p>
        </w:tc>
      </w:tr>
      <w:tr>
        <w:tc>
          <w:tcPr>
            <w:tcW w:type="dxa" w:w="4320"/>
          </w:tcPr>
          <w:p>
            <w:r>
              <w:rPr>
                <w:sz w:val="17"/>
              </w:rPr>
            </w:r>
            <w:r>
              <w:rPr>
                <w:sz w:val="17"/>
              </w:rPr>
              <w:t>مستهدف التضخم</w:t>
            </w:r>
          </w:p>
        </w:tc>
        <w:tc>
          <w:tcPr>
            <w:tcW w:type="dxa" w:w="4320"/>
          </w:tcPr>
          <w:p>
            <w:r>
              <w:rPr>
                <w:sz w:val="17"/>
              </w:rPr>
            </w:r>
            <w:r>
              <w:rPr>
                <w:sz w:val="17"/>
              </w:rPr>
              <w:t>التوجهات الأساسية للسياسة النقدية لبنك روسيا</w:t>
            </w:r>
          </w:p>
        </w:tc>
      </w:tr>
      <w:tr>
        <w:tc>
          <w:tcPr>
            <w:tcW w:type="dxa" w:w="4320"/>
          </w:tcPr>
          <w:p>
            <w:r>
              <w:rPr>
                <w:sz w:val="17"/>
              </w:rPr>
            </w:r>
            <w:r>
              <w:rPr>
                <w:sz w:val="17"/>
              </w:rPr>
              <w:t>سعر الفائدة الرئيسي 14.0%</w:t>
            </w:r>
          </w:p>
        </w:tc>
        <w:tc>
          <w:tcPr>
            <w:tcW w:type="dxa" w:w="4320"/>
          </w:tcPr>
          <w:p>
            <w:r>
              <w:rPr>
                <w:sz w:val="17"/>
              </w:rPr>
            </w:r>
            <w:r>
              <w:rPr>
                <w:sz w:val="17"/>
              </w:rPr>
              <w:t>قرار مجلس إدارة بنك روسيا</w:t>
            </w:r>
          </w:p>
        </w:tc>
      </w:tr>
      <w:tr>
        <w:tc>
          <w:tcPr>
            <w:tcW w:type="dxa" w:w="4320"/>
          </w:tcPr>
          <w:p>
            <w:r>
              <w:rPr>
                <w:sz w:val="17"/>
              </w:rPr>
            </w:r>
            <w:r>
              <w:rPr>
                <w:sz w:val="17"/>
              </w:rPr>
              <w:t>سعر 71.55 روبل/دولار</w:t>
            </w:r>
          </w:p>
        </w:tc>
        <w:tc>
          <w:tcPr>
            <w:tcW w:type="dxa" w:w="4320"/>
          </w:tcPr>
          <w:p>
            <w:r>
              <w:rPr>
                <w:sz w:val="17"/>
              </w:rPr>
            </w:r>
            <w:r>
              <w:rPr>
                <w:sz w:val="17"/>
              </w:rPr>
              <w:t>السعر الرسمي لبنك روسيا بتاريخ 26.05.2026</w:t>
            </w:r>
          </w:p>
        </w:tc>
      </w:tr>
      <w:tr>
        <w:tc>
          <w:tcPr>
            <w:tcW w:type="dxa" w:w="4320"/>
          </w:tcPr>
          <w:p>
            <w:r>
              <w:rPr>
                <w:sz w:val="17"/>
              </w:rPr>
            </w:r>
            <w:r>
              <w:rPr>
                <w:sz w:val="17"/>
              </w:rPr>
              <w:t>علاوة مخاطر الأسهم، بيتا</w:t>
            </w:r>
          </w:p>
        </w:tc>
        <w:tc>
          <w:tcPr>
            <w:tcW w:type="dxa" w:w="4320"/>
          </w:tcPr>
          <w:p>
            <w:r>
              <w:rPr>
                <w:sz w:val="17"/>
              </w:rPr>
            </w:r>
            <w:r>
              <w:rPr>
                <w:sz w:val="17"/>
              </w:rPr>
              <w:t>Damodaran Online</w:t>
            </w:r>
          </w:p>
        </w:tc>
      </w:tr>
      <w:tr>
        <w:tc>
          <w:tcPr>
            <w:tcW w:type="dxa" w:w="4320"/>
          </w:tcPr>
          <w:p>
            <w:r>
              <w:rPr>
                <w:sz w:val="17"/>
              </w:rPr>
            </w:r>
            <w:r>
              <w:rPr>
                <w:sz w:val="17"/>
              </w:rPr>
              <w:t>مراجع الرواتب</w:t>
            </w:r>
          </w:p>
        </w:tc>
        <w:tc>
          <w:tcPr>
            <w:tcW w:type="dxa" w:w="4320"/>
          </w:tcPr>
          <w:p>
            <w:r>
              <w:rPr>
                <w:sz w:val="17"/>
              </w:rPr>
            </w:r>
            <w:r>
              <w:rPr>
                <w:sz w:val="17"/>
              </w:rPr>
              <w:t>استقصاءات سوق العمل المفتوحة 2024–2026</w:t>
            </w:r>
          </w:p>
        </w:tc>
      </w:tr>
      <w:tr>
        <w:tc>
          <w:tcPr>
            <w:tcW w:type="dxa" w:w="4320"/>
          </w:tcPr>
          <w:p>
            <w:r>
              <w:rPr>
                <w:sz w:val="17"/>
              </w:rPr>
            </w:r>
            <w:r>
              <w:rPr>
                <w:sz w:val="17"/>
              </w:rPr>
              <w:t>مراجع النفقات الرأسمالية</w:t>
            </w:r>
          </w:p>
        </w:tc>
        <w:tc>
          <w:tcPr>
            <w:tcW w:type="dxa" w:w="4320"/>
          </w:tcPr>
          <w:p>
            <w:r>
              <w:rPr>
                <w:sz w:val="17"/>
              </w:rPr>
            </w:r>
            <w:r>
              <w:rPr>
                <w:sz w:val="17"/>
              </w:rPr>
              <w:t>عروض علنية لمنصات مالية روسية</w:t>
            </w:r>
          </w:p>
        </w:tc>
      </w:tr>
    </w:tbl>
    <w:p/>
    <w:p>
      <w:pPr>
        <w:jc w:val="both"/>
      </w:pPr>
      <w:r>
        <w:t>عائد سندات OFZ لعشر سنوات وسعر الصرف مثبتان على مايو 2026 ويحتاجان إلى تحديث بتاريخ المفاوضات.</w:t>
      </w:r>
    </w:p>
    <w:p>
      <w:pPr>
        <w:jc w:val="both"/>
      </w:pPr>
      <w:r>
        <w:rPr>
          <w:b/>
        </w:rPr>
        <w:t>الإصدار v5 · 07.09.2026.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