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خطة العمل — المنصة الرقمية «الخدمة الروسية لتمويل التنمية الاجتماعية» (CPFSR)</w:t>
      </w:r>
    </w:p>
    <w:p>
      <w:pPr>
        <w:ind w:left="360"/>
      </w:pPr>
      <w:r>
        <w:rPr>
          <w:b/>
          <w:i/>
          <w:color w:val="444444"/>
        </w:rPr>
        <w:t>ملاحظة.</w:t>
      </w:r>
      <w:r>
        <w:rPr>
          <w:i/>
          <w:color w:val="444444"/>
        </w:rPr>
        <w:t xml:space="preserve"> هذه الترجمة تتبع الأصل الروسي. أُعيد احتساب القسم المالي في الأصل بتاريخ 07.09.2026 (النموذج v5)، وقد وُوئمت أرقام هذه الترجمة مع ذلك الاحتساب. وعند أي اختلاف في الصياغة يُعتد بالنسخة الروسية.</w:t>
      </w:r>
    </w:p>
    <w:p>
      <w:pPr>
        <w:jc w:val="both"/>
      </w:pPr>
      <w:r>
        <w:rPr>
          <w:b/>
        </w:rPr>
        <w:t>المشغّل:</w:t>
      </w:r>
      <w:r>
        <w:t xml:space="preserve"> المنصة الرقمية CPFSR — منصة front-end / وكيل لإصدار DFA بضمان أصول مرهونة. المرحلة 1 (pilot-light 2028–2029): الطروحات عبر شراكة تقنية مع مشغّل قائم 779-P، التمويل من مصنع تمويل المشاريع VEB.RF (قرار الحكومة رقم 158) ومن الخزانة الفيدرالية. المرحلة 2 (أفق 2029+): توسيع التفويض نحو نموذج الإصدار المضمون المستهدف لبنك روسيا — بعد سجل أعمال إيجابي للمرحلة 1 ≥ 12 شهرًا وإقرار حزمة 4 تعديلات للقوانين الاتحادية. </w:t>
      </w:r>
      <w:r>
        <w:rPr>
          <w:b/>
        </w:rPr>
        <w:t>مؤلف المفهوم وصاحب حقوق المعرفة الفنية:</w:t>
      </w:r>
      <w:r>
        <w:t xml:space="preserve"> عبد الحكيم أحمدوفيتش كاغيروف. </w:t>
      </w:r>
      <w:r>
        <w:rPr>
          <w:b/>
        </w:rPr>
        <w:t>شهادة الإيداع:</w:t>
      </w:r>
      <w:r>
        <w:t xml:space="preserve"> رقم 4011265 بتاريخ 19.12.2024 (ireg.pro، GOST R 34.11-2012). </w:t>
      </w:r>
      <w:r>
        <w:rPr>
          <w:b/>
        </w:rPr>
        <w:t>تاريخ الوثيقة:</w:t>
      </w:r>
      <w:r>
        <w:t xml:space="preserve"> 07.09.2026 (الإصدار 2: أُعيد احتساب القسم المالي؛ الحصر الموحّد للمؤشرات — </w:t>
      </w:r>
      <w:r>
        <w:rPr>
          <w:rFonts w:ascii="Consolas" w:hAnsi="Consolas"/>
          <w:sz w:val="18"/>
        </w:rPr>
        <w:t>_Мастер/Единые_показатели_v2.md</w:t>
      </w:r>
      <w:r>
        <w:t xml:space="preserve"> v5).</w:t>
      </w:r>
    </w:p>
    <w:p>
      <w:pPr>
        <w:pStyle w:val="Heading2"/>
      </w:pPr>
      <w:r>
        <w:t>1. ملخّص المشروع</w:t>
      </w:r>
    </w:p>
    <w:p>
      <w:pPr>
        <w:jc w:val="both"/>
      </w:pPr>
      <w:r>
        <w:rPr>
          <w:b/>
        </w:rPr>
        <w:t>ماذا.</w:t>
      </w:r>
      <w:r>
        <w:t xml:space="preserve"> CPFSR منصة front-end / وكيل لدورة كاملة لإصدار وخدمة الأصول المالية الرقمية (DFA) المُسماة على رهن العقارات وأصول أخرى. </w:t>
      </w:r>
      <w:r>
        <w:rPr>
          <w:b/>
        </w:rPr>
        <w:t>المرحلة 1 (2028–2029):</w:t>
      </w:r>
      <w:r>
        <w:t xml:space="preserve"> الطروحات عبر شراكة تقنية مع مشغّل قائم لنظام معلومات إصدار DFA وفق 779-P (كيان قائم مدرَج في السجل — الترخيص غير قابل للنقل)؛ قناة التسوية والتمويل — مصنع تمويل المشاريع VEB.RF (قرار الحكومة رقم 158 بتاريخ 15.02.2018) والخزانة الفيدرالية في إطار قانون الميزانية. بنك روسيا — الجهة التنظيمية الإشرافية وفق المادة 4 من القانون 86-FZ؛ لا إصدار إضافي في المرحلة 1. </w:t>
      </w:r>
      <w:r>
        <w:rPr>
          <w:b/>
        </w:rPr>
        <w:t>المرحلة 2 (أفق 2029+):</w:t>
      </w:r>
      <w:r>
        <w:t xml:space="preserve"> مسار قابل للدفاع نحو نموذج الإصدار المضمون المستهدف لبنك روسيا — يُنفَّذ بعد سجل أعمال إيجابي للمرحلة 1 ≥ 12 شهرًا وإقرار حزمة 4 تعديلات.</w:t>
      </w:r>
    </w:p>
    <w:p>
      <w:pPr>
        <w:jc w:val="both"/>
      </w:pPr>
      <w:r>
        <w:rPr>
          <w:b/>
        </w:rPr>
        <w:t>لماذا.</w:t>
      </w:r>
      <w:r>
        <w:t xml:space="preserve"> تحرير قاعدة الضمانات «النائمة» في الاتحاد الروسي (محافظًا 25 تريليون ₽) للتمويل المستهدف للمشاريع الوطنية والبنى التحتية — دون زيادة العبء على الميزانية ومع الحفاظ على حقوق المالكين. في المرحلة 1 يتحقّق الأثر عبر التمويل البنى-التحتي؛ في المرحلة 2 يتوسّع عبر الإصدار المضمون المستهدف.</w:t>
      </w:r>
    </w:p>
    <w:p>
      <w:pPr>
        <w:jc w:val="both"/>
      </w:pPr>
      <w:r>
        <w:rPr>
          <w:b/>
        </w:rPr>
        <w:t>لمن.</w:t>
      </w:r>
    </w:p>
    <w:p>
      <w:pPr>
        <w:pStyle w:val="ListBullet"/>
      </w:pPr>
      <w:r>
        <w:t>الدولة — مصدر خارج الميزانية للتمويل المستهدف للمشاريع الوطنية.</w:t>
      </w:r>
    </w:p>
    <w:p>
      <w:pPr>
        <w:pStyle w:val="ListBullet"/>
      </w:pPr>
      <w:r>
        <w:t>مالكو الأصول (أشخاص طبيعيون واعتباريون) — دخل إضافي مع الحفاظ على الأصل في الملكية.</w:t>
      </w:r>
    </w:p>
    <w:p>
      <w:pPr>
        <w:pStyle w:val="ListBullet"/>
      </w:pPr>
      <w:r>
        <w:t>المستثمرون — فئة جديدة من الأدوات الموثوقة والمضمونة والمنظَّمة.</w:t>
      </w:r>
    </w:p>
    <w:p>
      <w:pPr>
        <w:pStyle w:val="ListBullet"/>
      </w:pPr>
      <w:r>
        <w:t>القطاع المالي (البنوك، التأمين، المقيّمون) — إيرادات خدمة جديدة.</w:t>
      </w:r>
    </w:p>
    <w:p>
      <w:pPr>
        <w:jc w:val="both"/>
      </w:pPr>
      <w:r>
        <w:rPr>
          <w:b/>
        </w:rPr>
        <w:t>كم.</w:t>
      </w:r>
    </w:p>
    <w:p>
      <w:pPr>
        <w:pStyle w:val="ListBullet"/>
      </w:pPr>
      <w:r>
        <w:t>النفقات الرأسمالية خلال أول 18 شهرًا — 720 مليون ₽.</w:t>
      </w:r>
    </w:p>
    <w:p>
      <w:pPr>
        <w:pStyle w:val="ListBullet"/>
      </w:pPr>
      <w:r>
        <w:t>النفقات الرأسمالية خلال 10 سنوات — 13,570 مليون ₽.</w:t>
      </w:r>
    </w:p>
    <w:p>
      <w:pPr>
        <w:pStyle w:val="ListBullet"/>
      </w:pPr>
      <w:r>
        <w:t>ذروة الحاجة للتمويل — 1,701 مليون ₽ (نهاية 2028).</w:t>
      </w:r>
    </w:p>
    <w:p>
      <w:pPr>
        <w:jc w:val="both"/>
      </w:pPr>
      <w:r>
        <w:rPr>
          <w:b/>
        </w:rPr>
        <w:t>متى.</w:t>
      </w:r>
    </w:p>
    <w:p>
      <w:pPr>
        <w:pStyle w:val="ListBullet"/>
      </w:pPr>
      <w:r>
        <w:t>الانطلاق — 2027 (التحضير، الترخيص، التطوير).</w:t>
      </w:r>
    </w:p>
    <w:p>
      <w:pPr>
        <w:pStyle w:val="ListBullet"/>
      </w:pPr>
      <w:r>
        <w:t>أول الإصدارات — 2028 (بعد 18 شهرًا من الانطلاق).</w:t>
      </w:r>
    </w:p>
    <w:p>
      <w:pPr>
        <w:pStyle w:val="ListBullet"/>
      </w:pPr>
      <w:r>
        <w:t>التجربة — 2028–2029.</w:t>
      </w:r>
    </w:p>
    <w:p>
      <w:pPr>
        <w:pStyle w:val="ListBullet"/>
      </w:pPr>
      <w:r>
        <w:t>التوسّع — 2028–2030.</w:t>
      </w:r>
    </w:p>
    <w:p>
      <w:pPr>
        <w:pStyle w:val="ListBullet"/>
      </w:pPr>
      <w:r>
        <w:t>الطور الناضج — من 2031.</w:t>
      </w:r>
    </w:p>
    <w:p>
      <w:pPr>
        <w:jc w:val="both"/>
      </w:pPr>
      <w:r>
        <w:rPr>
          <w:b/>
        </w:rPr>
        <w:t>مصادر الدخل.</w:t>
      </w:r>
    </w:p>
    <w:p>
      <w:pPr>
        <w:pStyle w:val="ListBullet"/>
      </w:pPr>
      <w:r>
        <w:t>عمولة إصدار DFA — 0.5 % من الاسمي.</w:t>
      </w:r>
    </w:p>
    <w:p>
      <w:pPr>
        <w:pStyle w:val="ListBullet"/>
      </w:pPr>
      <w:r>
        <w:t>عمولة الخدمة — 0.3 % من stack المتداول.</w:t>
      </w:r>
    </w:p>
    <w:p>
      <w:pPr>
        <w:pStyle w:val="ListBullet"/>
      </w:pPr>
      <w:r>
        <w:t>رسم المنصة (تقييم/تأمين) — 0.15 % من الاسمي.</w:t>
      </w:r>
    </w:p>
    <w:p>
      <w:pPr>
        <w:pStyle w:val="ListBullet"/>
      </w:pPr>
      <w:r>
        <w:t>رخص B2B2G للشركاء — حتى 0.15 % من حجم الإصدار.</w:t>
      </w:r>
    </w:p>
    <w:p>
      <w:pPr>
        <w:pStyle w:val="ListBullet"/>
      </w:pPr>
      <w:r>
        <w:t>التكاملات التقنية — مقطوع.</w:t>
      </w:r>
    </w:p>
    <w:p>
      <w:pPr>
        <w:jc w:val="both"/>
      </w:pPr>
      <w:r>
        <w:rPr>
          <w:b/>
        </w:rPr>
        <w:t>ما المطلوب.</w:t>
      </w:r>
      <w:r>
        <w:t xml:space="preserve"> تمويل أولي 1.8 مليار ₽ لمدة 24 شهرًا — النفقات الرأسمالية، والعجز التشغيلي للسنتين الأوليين، ورأس المال العامل، والاحتياطي. وذروة الحاجة المحسوبة 1,701 مليون ₽، بهامش 99 مليون ₽. والهامش ضئيل: فتأخر الإطلاق سنة واحدة يرفع الحاجة إلى 3,438 مليون ₽.</w:t>
      </w:r>
    </w:p>
    <w:p>
      <w:pPr>
        <w:jc w:val="both"/>
      </w:pPr>
      <w:r>
        <w:rPr>
          <w:b/>
        </w:rPr>
        <w:t>KPI المالية الرئيسة (السيناريو الأساسي، WACC 29.5%):</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KPI</w:t>
            </w:r>
          </w:p>
        </w:tc>
        <w:tc>
          <w:tcPr>
            <w:tcW w:type="dxa" w:w="4320"/>
          </w:tcPr>
          <w:p>
            <w:r>
              <w:rPr>
                <w:b/>
                <w:sz w:val="17"/>
              </w:rPr>
            </w:r>
            <w:r>
              <w:rPr>
                <w:b/>
                <w:sz w:val="17"/>
              </w:rPr>
              <w:t>القيمة</w:t>
            </w:r>
          </w:p>
        </w:tc>
      </w:tr>
      <w:tr>
        <w:tc>
          <w:tcPr>
            <w:tcW w:type="dxa" w:w="4320"/>
          </w:tcPr>
          <w:p>
            <w:r>
              <w:rPr>
                <w:sz w:val="17"/>
              </w:rPr>
            </w:r>
            <w:r>
              <w:rPr>
                <w:sz w:val="17"/>
              </w:rPr>
              <w:t>NPV (مع القيمة النهائية، g = 4 %)</w:t>
            </w:r>
          </w:p>
        </w:tc>
        <w:tc>
          <w:tcPr>
            <w:tcW w:type="dxa" w:w="4320"/>
          </w:tcPr>
          <w:p>
            <w:r>
              <w:rPr>
                <w:sz w:val="17"/>
              </w:rPr>
            </w:r>
            <w:r>
              <w:rPr>
                <w:sz w:val="17"/>
              </w:rPr>
              <w:t>63.0 مليار ₽</w:t>
            </w:r>
          </w:p>
        </w:tc>
      </w:tr>
      <w:tr>
        <w:tc>
          <w:tcPr>
            <w:tcW w:type="dxa" w:w="4320"/>
          </w:tcPr>
          <w:p>
            <w:r>
              <w:rPr>
                <w:sz w:val="17"/>
              </w:rPr>
            </w:r>
            <w:r>
              <w:rPr>
                <w:sz w:val="17"/>
              </w:rPr>
              <w:t>الاسترداد المخصوم</w:t>
            </w:r>
          </w:p>
        </w:tc>
        <w:tc>
          <w:tcPr>
            <w:tcW w:type="dxa" w:w="4320"/>
          </w:tcPr>
          <w:p>
            <w:r>
              <w:rPr>
                <w:sz w:val="17"/>
              </w:rPr>
            </w:r>
            <w:r>
              <w:rPr>
                <w:sz w:val="17"/>
              </w:rPr>
              <w:t>3.05 سنة</w:t>
            </w:r>
          </w:p>
        </w:tc>
      </w:tr>
      <w:tr>
        <w:tc>
          <w:tcPr>
            <w:tcW w:type="dxa" w:w="4320"/>
          </w:tcPr>
          <w:p>
            <w:r>
              <w:rPr>
                <w:sz w:val="17"/>
              </w:rPr>
            </w:r>
            <w:r>
              <w:rPr>
                <w:sz w:val="17"/>
              </w:rPr>
              <w:t>Payback</w:t>
            </w:r>
          </w:p>
        </w:tc>
        <w:tc>
          <w:tcPr>
            <w:tcW w:type="dxa" w:w="4320"/>
          </w:tcPr>
          <w:p>
            <w:r>
              <w:rPr>
                <w:sz w:val="17"/>
              </w:rPr>
            </w:r>
            <w:r>
              <w:rPr>
                <w:sz w:val="17"/>
              </w:rPr>
              <w:t>2.8 سنة</w:t>
            </w:r>
          </w:p>
        </w:tc>
      </w:tr>
      <w:tr>
        <w:tc>
          <w:tcPr>
            <w:tcW w:type="dxa" w:w="4320"/>
          </w:tcPr>
          <w:p>
            <w:r>
              <w:rPr>
                <w:sz w:val="17"/>
              </w:rPr>
            </w:r>
            <w:r>
              <w:rPr>
                <w:sz w:val="17"/>
              </w:rPr>
              <w:t>ذروة الحاجة للتمويل</w:t>
            </w:r>
          </w:p>
        </w:tc>
        <w:tc>
          <w:tcPr>
            <w:tcW w:type="dxa" w:w="4320"/>
          </w:tcPr>
          <w:p>
            <w:r>
              <w:rPr>
                <w:sz w:val="17"/>
              </w:rPr>
            </w:r>
            <w:r>
              <w:rPr>
                <w:sz w:val="17"/>
              </w:rPr>
              <w:t>1.70 مليار ₽</w:t>
            </w:r>
          </w:p>
        </w:tc>
      </w:tr>
      <w:tr>
        <w:tc>
          <w:tcPr>
            <w:tcW w:type="dxa" w:w="4320"/>
          </w:tcPr>
          <w:p>
            <w:r>
              <w:rPr>
                <w:sz w:val="17"/>
              </w:rPr>
            </w:r>
            <w:r>
              <w:rPr>
                <w:sz w:val="17"/>
              </w:rPr>
              <w:t>إيراد السنة 5 (2029)</w:t>
            </w:r>
          </w:p>
        </w:tc>
        <w:tc>
          <w:tcPr>
            <w:tcW w:type="dxa" w:w="4320"/>
          </w:tcPr>
          <w:p>
            <w:r>
              <w:rPr>
                <w:sz w:val="17"/>
              </w:rPr>
            </w:r>
            <w:r>
              <w:rPr>
                <w:sz w:val="17"/>
              </w:rPr>
              <w:t>37.5 مليار ₽</w:t>
            </w:r>
          </w:p>
        </w:tc>
      </w:tr>
      <w:tr>
        <w:tc>
          <w:tcPr>
            <w:tcW w:type="dxa" w:w="4320"/>
          </w:tcPr>
          <w:p>
            <w:r>
              <w:rPr>
                <w:sz w:val="17"/>
              </w:rPr>
            </w:r>
            <w:r>
              <w:rPr>
                <w:sz w:val="17"/>
              </w:rPr>
              <w:t>إيراد السنة 10 (2034)</w:t>
            </w:r>
          </w:p>
        </w:tc>
        <w:tc>
          <w:tcPr>
            <w:tcW w:type="dxa" w:w="4320"/>
          </w:tcPr>
          <w:p>
            <w:r>
              <w:rPr>
                <w:sz w:val="17"/>
              </w:rPr>
            </w:r>
            <w:r>
              <w:rPr>
                <w:sz w:val="17"/>
              </w:rPr>
              <w:t>142.6 مليار ₽</w:t>
            </w:r>
          </w:p>
        </w:tc>
      </w:tr>
      <w:tr>
        <w:tc>
          <w:tcPr>
            <w:tcW w:type="dxa" w:w="4320"/>
          </w:tcPr>
          <w:p>
            <w:r>
              <w:rPr>
                <w:sz w:val="17"/>
              </w:rPr>
            </w:r>
            <w:r>
              <w:rPr>
                <w:sz w:val="17"/>
              </w:rPr>
              <w:t>EBITDA السنة 10</w:t>
            </w:r>
          </w:p>
        </w:tc>
        <w:tc>
          <w:tcPr>
            <w:tcW w:type="dxa" w:w="4320"/>
          </w:tcPr>
          <w:p>
            <w:r>
              <w:rPr>
                <w:sz w:val="17"/>
              </w:rPr>
            </w:r>
            <w:r>
              <w:rPr>
                <w:sz w:val="17"/>
              </w:rPr>
              <w:t>107.1 مليار ₽</w:t>
            </w:r>
          </w:p>
        </w:tc>
      </w:tr>
    </w:tbl>
    <w:p/>
    <w:p>
      <w:pPr>
        <w:jc w:val="both"/>
      </w:pPr>
      <w:r>
        <w:t>السيناريو المحافظ (العمل في إطار القانون 259-FZ وحده، حصة سوقية 7 %): قيمة المشروع 20.1 مليار ₽. أما معدل العائد الداخلي للمشروع فقد نُقل عمدًا إلى § 9.2 مع تحفّظ: فعلى تدفقات المشروع يتجاوز 100 %، وهو ما يعكس نقص النموذج في تكلفة الدخول إلى السوق لا ميزةً للمشروع.</w:t>
      </w:r>
    </w:p>
    <w:p>
      <w:pPr>
        <w:pStyle w:val="Heading2"/>
      </w:pPr>
      <w:r>
        <w:t>2. وصف الشركة-المشغّل</w:t>
      </w:r>
    </w:p>
    <w:p>
      <w:pPr>
        <w:pStyle w:val="Heading3"/>
      </w:pPr>
      <w:r>
        <w:t>2.1. الصيغة القانونية</w:t>
      </w:r>
    </w:p>
    <w:p>
      <w:pPr>
        <w:jc w:val="both"/>
      </w:pPr>
      <w:r>
        <w:t xml:space="preserve">الصيغة الموصى بها — </w:t>
      </w:r>
      <w:r>
        <w:rPr>
          <w:b/>
        </w:rPr>
        <w:t>شركة مساهمة (JSC)</w:t>
      </w:r>
      <w:r>
        <w:t>:</w:t>
      </w:r>
    </w:p>
    <w:p>
      <w:pPr>
        <w:pStyle w:val="ListBullet"/>
      </w:pPr>
      <w:r>
        <w:t>مطابقة لمتطلبات بنك روسيا لمشغّلي DFA (259-FZ المادة 10): حدّ أدنى لرأس المال الخاص، حوكمة الشركات، متطلبات تكوين المساهمين.</w:t>
      </w:r>
    </w:p>
    <w:p>
      <w:pPr>
        <w:pStyle w:val="ListBullet"/>
      </w:pPr>
      <w:r>
        <w:t>تتيح استقطاب مستثمرين استراتيجيين عبر إصدار الأسهم.</w:t>
      </w:r>
    </w:p>
    <w:p>
      <w:pPr>
        <w:pStyle w:val="ListBullet"/>
      </w:pPr>
      <w:r>
        <w:t>متوافقة مع نظام الأصول الاستراتيجية الحكومية (إن اعتُمد).</w:t>
      </w:r>
    </w:p>
    <w:p>
      <w:pPr>
        <w:pStyle w:val="Heading3"/>
      </w:pPr>
      <w:r>
        <w:t>2.2. المؤسّسون ومحيط الملكية</w:t>
      </w:r>
    </w:p>
    <w:p>
      <w:pPr>
        <w:jc w:val="both"/>
      </w:pPr>
      <w:r>
        <w:t>الحزمة التأسيسية تشمل:</w:t>
      </w:r>
    </w:p>
    <w:p>
      <w:pPr>
        <w:pStyle w:val="ListNumber"/>
      </w:pPr>
      <w:r>
        <w:rPr>
          <w:b/>
        </w:rPr>
        <w:t>صاحب حقوق المعرفة الفنية</w:t>
      </w:r>
      <w:r>
        <w:t xml:space="preserve"> — عبد الحكيم أحمدوفيتش كاغيروف (شهادة رقم 4011265 بتاريخ 19.12.2024). تُؤمَّن حصة المؤسّس عبر منح الترخيص أو إدراج الحق الحصري في رأس المال النظامي بتقييم مقيّم مستقل.</w:t>
      </w:r>
    </w:p>
    <w:p>
      <w:pPr>
        <w:pStyle w:val="ListNumber"/>
      </w:pPr>
      <w:r>
        <w:rPr>
          <w:b/>
        </w:rPr>
        <w:t>المساهمون المؤسسيون</w:t>
      </w:r>
      <w:r>
        <w:t xml:space="preserve"> — يوصى باستقطاب مستثمرين مؤسسيين متخصّصين (بنوك التنمية، الشركات المالية الحكومية، المنظِّم) لضمان الدعم السياسي والراحة التنظيمية.</w:t>
      </w:r>
    </w:p>
    <w:p>
      <w:pPr>
        <w:pStyle w:val="ListNumber"/>
      </w:pPr>
      <w:r>
        <w:rPr>
          <w:b/>
        </w:rPr>
        <w:t>دور بنك روسيا (المرحلة 1).</w:t>
      </w:r>
      <w:r>
        <w:t xml:space="preserve"> في المرحلة 1 (pilot-light 2028–2029) بنك روسيا هو المنظِّم الإشرافي العام للسوق المالية وفق المادة 4 من 86-FZ: يوافق على قواعد المشغّل وفق المادة 6 من 259-FZ، يُدرج المشغّل في السجل وفق اللائحة 779-P، يشرف على الامتثال لمتطلبات حماية المعلومات (683-P، 716-P) وGOST R 57580.1. لا يُتوقّع إصدار إضافي من بنك روسيا في المرحلة 1؛ يجري تمويل الطرح عبر مصنع VEB.RF (قرار الحكومة رقم 158) والخزانة الفيدرالية في إطار قانون الميزانية. ضمن المرحلة 2 (أفق 2029+) ومع سجل أعمال إيجابي ≥ 12 شهرًا وإقرار حزمة 4 تعديلات يمكن النظر في توسيع التفويض إلى نموذج الإصدار المضمون المستهدف.</w:t>
      </w:r>
    </w:p>
    <w:p>
      <w:pPr>
        <w:pStyle w:val="Heading3"/>
      </w:pPr>
      <w:r>
        <w:t>2.3. الولاية القضائية</w:t>
      </w:r>
    </w:p>
    <w:p>
      <w:pPr>
        <w:jc w:val="both"/>
      </w:pPr>
      <w:r>
        <w:t>الاتحاد الروسي. التسجيل في موسكو — موائم لموقع الجهات التنظيمية الرئيسة (بنك روسيا، وزارة المالية، وزارة التنمية الاقتصادية، وزارة التطوير الرقمي)، الخزانة الفيدرالية، والأطراف المصرفية الأساسية.</w:t>
      </w:r>
    </w:p>
    <w:p>
      <w:pPr>
        <w:pStyle w:val="Heading3"/>
      </w:pPr>
      <w:r>
        <w:t>2.4. الوضع الضريبي</w:t>
      </w:r>
    </w:p>
    <w:p>
      <w:pPr>
        <w:jc w:val="both"/>
      </w:pPr>
      <w:r>
        <w:t>عند الحصول على اعتماد IT من وزارة التطوير الرقمي والحفاظ على ≥ 70 % من إيرادات IT، ينطبق التخفيف الضريبي لضريبة الأرباح (5 % أو 0 % حسب صياغة قانون الضرائب). يستخدم السيناريو الأساسي معدل 25 % (ساري من 01.01.2025 بموجب القانون 176-FZ) — قاعدة محافظة. التخفيف upside منفصل على التقييم.</w:t>
      </w:r>
    </w:p>
    <w:p>
      <w:pPr>
        <w:pStyle w:val="Heading3"/>
      </w:pPr>
      <w:r>
        <w:t>2.5. حماية الملكية الفكرية</w:t>
      </w:r>
    </w:p>
    <w:p>
      <w:pPr>
        <w:jc w:val="both"/>
      </w:pPr>
      <w:r>
        <w:t>نواة المعرفة الفنية للمشغّل هي مفهوم المؤلف المحميّ بشهادة الإيداع رقم 4011265 بتاريخ 19.12.2024. يُثبت الإيداع تاريخ الأسبقية (24.12.2024) وتجزئة العمل؛ نظام الحماية القانونية — المعرفة الفنية (المادة 1465 من القانون المدني) والبرنامج (المادة 1262 من القانون المدني، تسجيل لدى Rospatent قيد الإنجاز) من تاريخ الإيداع. عند إنشاء الشركة-المشغّل يمنح صاحب الحقوق المشغّل حقوقًا حصرية أو غير حصرية لاستخدام المعرفة الفنية مع تثبيت شروط المكافأة (اتفاقية ترخيص أو إدراج في رأس المال النظامي).</w:t>
      </w:r>
    </w:p>
    <w:p>
      <w:pPr>
        <w:pStyle w:val="Heading2"/>
      </w:pPr>
      <w:r>
        <w:t>3. وصف المنتج / الخدمة</w:t>
      </w:r>
    </w:p>
    <w:p>
      <w:pPr>
        <w:pStyle w:val="Heading3"/>
      </w:pPr>
      <w:r>
        <w:t>3.1. ما هي CPFSR</w:t>
      </w:r>
    </w:p>
    <w:p>
      <w:pPr>
        <w:jc w:val="both"/>
      </w:pPr>
      <w:r>
        <w:t>CPFSR منصة رقمية لدورة كاملة:</w:t>
      </w:r>
    </w:p>
    <w:p>
      <w:pPr>
        <w:pStyle w:val="ListNumber"/>
      </w:pPr>
      <w:r>
        <w:t>تستقبل طلب رهن من المالك (عقار، نقل، ملكية فكرية، أوراق مالية، إلخ).</w:t>
      </w:r>
    </w:p>
    <w:p>
      <w:pPr>
        <w:pStyle w:val="ListNumber"/>
      </w:pPr>
      <w:r>
        <w:t>تجري تقييمًا آليًّا للأصل المرهون بمشاركة مقيّمين معتمدين بموجب القانون 135-FZ.</w:t>
      </w:r>
    </w:p>
    <w:p>
      <w:pPr>
        <w:pStyle w:val="ListNumber"/>
      </w:pPr>
      <w:r>
        <w:t>تُسجّل رهنًا مؤقتًا على الأصل في السجلات الحكومية المعنية (Rosreestr، شرطة المرور، جهات الإيداع).</w:t>
      </w:r>
    </w:p>
    <w:p>
      <w:pPr>
        <w:pStyle w:val="ListNumber"/>
      </w:pPr>
      <w:r>
        <w:t>تنسّق مع الشريك التقني — مشغّل نظام معلومات إصدار DFA وفق 779-P — معطيات الإصدار (قواعد المشغّل، المادة 6 من 259-FZ).</w:t>
      </w:r>
    </w:p>
    <w:p>
      <w:pPr>
        <w:pStyle w:val="ListNumber"/>
      </w:pPr>
      <w:r>
        <w:t>يُصدر الشريك التقني DFA بقيمة اسمية مطابقة لتقييم الرهن (مع معيار الخصم).</w:t>
      </w:r>
    </w:p>
    <w:p>
      <w:pPr>
        <w:pStyle w:val="ListNumber"/>
      </w:pPr>
      <w:r>
        <w:rPr>
          <w:b/>
        </w:rPr>
        <w:t>المرحلة 1.</w:t>
      </w:r>
      <w:r>
        <w:t xml:space="preserve"> يجري تمويل الطرح عبر مصنع VEB.RF (قرار رقم 158 بتاريخ 15.02.2018) والخزانة الفيدرالية (قانون الميزانية). التسويات — الروبل غير النقدي أو الروبل الرقمي 340-FZ كمكمّل تسوية.</w:t>
      </w:r>
    </w:p>
    <w:p>
      <w:pPr>
        <w:pStyle w:val="ListNumber"/>
      </w:pPr>
      <w:r>
        <w:t>تُوجَّه الأموال بصورة مستهدفة إلى تمويل المشاريع الوطنية والبنى التحتية وفق القوانين الاتحادية واللوائح النافذة.</w:t>
      </w:r>
    </w:p>
    <w:p>
      <w:pPr>
        <w:pStyle w:val="ListNumber"/>
      </w:pPr>
      <w:r>
        <w:t>يجوز طرح DFA على المشاركين المهنيين في سوق الأوراق المالية؛ تُقيَّد عوائد الطرح في حسابات بموجب المواد 860.7–860.10 من القانون المدني.</w:t>
      </w:r>
    </w:p>
    <w:p>
      <w:pPr>
        <w:pStyle w:val="ListNumber"/>
      </w:pPr>
      <w:r>
        <w:t>عند انتهاء أجل المشروع تجري عملية مَيناء: يُسترَدّ DFA، يُرفع الرهن عن الأصل، يستردّ المالك أصله ويتلقّى المكافأة المالية المتفق عليها مسبقًا.</w:t>
      </w:r>
    </w:p>
    <w:p>
      <w:pPr>
        <w:ind w:left="360"/>
      </w:pPr>
      <w:r>
        <w:rPr>
          <w:b/>
          <w:i/>
          <w:color w:val="444444"/>
        </w:rPr>
        <w:t>المرحلة 2 (أفق 2029+).</w:t>
      </w:r>
      <w:r>
        <w:rPr>
          <w:i/>
          <w:color w:val="444444"/>
        </w:rPr>
        <w:t xml:space="preserve"> في إطار توسيع التفويض يمكن نقل الخطوتين 6–7 إلى نموذج الإصدار المضمون المستهدف من بنك روسيا مقابل pool من DFA المرهونة، مع حساب escrow تحت إدارة بنك روسيا. تُنفَّذ المرحلة 2 بعد سجل أعمال إيجابي للمرحلة 1 ≥ 12 شهرًا وإقرار حزمة 4 تعديلات (انظر الإطار القانوني § 8.2).</w:t>
      </w:r>
    </w:p>
    <w:p>
      <w:pPr>
        <w:pStyle w:val="Heading3"/>
      </w:pPr>
      <w:r>
        <w:t>3.2. الفروقات عن DFA القائمة</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المعطى</w:t>
            </w:r>
          </w:p>
        </w:tc>
        <w:tc>
          <w:tcPr>
            <w:tcW w:type="dxa" w:w="2160"/>
          </w:tcPr>
          <w:p>
            <w:r>
              <w:rPr>
                <w:b/>
                <w:sz w:val="17"/>
              </w:rPr>
            </w:r>
            <w:r>
              <w:rPr>
                <w:b/>
                <w:sz w:val="17"/>
              </w:rPr>
              <w:t>DFA القائمة في الاتحاد الروسي</w:t>
            </w:r>
          </w:p>
        </w:tc>
        <w:tc>
          <w:tcPr>
            <w:tcW w:type="dxa" w:w="2160"/>
          </w:tcPr>
          <w:p>
            <w:r>
              <w:rPr>
                <w:b/>
                <w:sz w:val="17"/>
              </w:rPr>
            </w:r>
            <w:r>
              <w:rPr>
                <w:b/>
                <w:sz w:val="17"/>
              </w:rPr>
              <w:t>CPFSR المرحلة 1</w:t>
            </w:r>
          </w:p>
        </w:tc>
        <w:tc>
          <w:tcPr>
            <w:tcW w:type="dxa" w:w="2160"/>
          </w:tcPr>
          <w:p>
            <w:r>
              <w:rPr>
                <w:b/>
                <w:sz w:val="17"/>
              </w:rPr>
            </w:r>
            <w:r>
              <w:rPr>
                <w:b/>
                <w:sz w:val="17"/>
              </w:rPr>
              <w:t>CPFSR المرحلة 2 (أفق)</w:t>
            </w:r>
          </w:p>
        </w:tc>
      </w:tr>
      <w:tr>
        <w:tc>
          <w:tcPr>
            <w:tcW w:type="dxa" w:w="2160"/>
          </w:tcPr>
          <w:p>
            <w:r>
              <w:rPr>
                <w:sz w:val="17"/>
              </w:rPr>
            </w:r>
            <w:r>
              <w:rPr>
                <w:sz w:val="17"/>
              </w:rPr>
              <w:t>الضمان</w:t>
            </w:r>
          </w:p>
        </w:tc>
        <w:tc>
          <w:tcPr>
            <w:tcW w:type="dxa" w:w="2160"/>
          </w:tcPr>
          <w:p>
            <w:r>
              <w:rPr>
                <w:sz w:val="17"/>
              </w:rPr>
            </w:r>
            <w:r>
              <w:rPr>
                <w:sz w:val="17"/>
              </w:rPr>
              <w:t>مطالبات نقدية، أسهم، التزامات</w:t>
            </w:r>
          </w:p>
        </w:tc>
        <w:tc>
          <w:tcPr>
            <w:tcW w:type="dxa" w:w="2160"/>
          </w:tcPr>
          <w:p>
            <w:r>
              <w:rPr>
                <w:sz w:val="17"/>
              </w:rPr>
            </w:r>
            <w:r>
              <w:rPr>
                <w:sz w:val="17"/>
              </w:rPr>
              <w:t>أصول مادية وغير مادية (مرهونة)</w:t>
            </w:r>
          </w:p>
        </w:tc>
        <w:tc>
          <w:tcPr>
            <w:tcW w:type="dxa" w:w="2160"/>
          </w:tcPr>
          <w:p>
            <w:r>
              <w:rPr>
                <w:sz w:val="17"/>
              </w:rPr>
            </w:r>
            <w:r>
              <w:rPr>
                <w:sz w:val="17"/>
              </w:rPr>
              <w:t>أصول مادية وغير مادية (مرهونة)</w:t>
            </w:r>
          </w:p>
        </w:tc>
      </w:tr>
      <w:tr>
        <w:tc>
          <w:tcPr>
            <w:tcW w:type="dxa" w:w="2160"/>
          </w:tcPr>
          <w:p>
            <w:r>
              <w:rPr>
                <w:sz w:val="17"/>
              </w:rPr>
            </w:r>
            <w:r>
              <w:rPr>
                <w:sz w:val="17"/>
              </w:rPr>
              <w:t>مصدر الأموال</w:t>
            </w:r>
          </w:p>
        </w:tc>
        <w:tc>
          <w:tcPr>
            <w:tcW w:type="dxa" w:w="2160"/>
          </w:tcPr>
          <w:p>
            <w:r>
              <w:rPr>
                <w:sz w:val="17"/>
              </w:rPr>
            </w:r>
            <w:r>
              <w:rPr>
                <w:sz w:val="17"/>
              </w:rPr>
              <w:t>مشتري DFA يدفع بالروبل</w:t>
            </w:r>
          </w:p>
        </w:tc>
        <w:tc>
          <w:tcPr>
            <w:tcW w:type="dxa" w:w="2160"/>
          </w:tcPr>
          <w:p>
            <w:r>
              <w:rPr>
                <w:sz w:val="17"/>
              </w:rPr>
            </w:r>
            <w:r>
              <w:rPr>
                <w:sz w:val="17"/>
              </w:rPr>
              <w:t>مصنع VEB.RF + الخزانة الفيدرالية</w:t>
            </w:r>
          </w:p>
        </w:tc>
        <w:tc>
          <w:tcPr>
            <w:tcW w:type="dxa" w:w="2160"/>
          </w:tcPr>
          <w:p>
            <w:r>
              <w:rPr>
                <w:sz w:val="17"/>
              </w:rPr>
            </w:r>
            <w:r>
              <w:rPr>
                <w:sz w:val="17"/>
              </w:rPr>
              <w:t>الإصدار المضمون المستهدف من بنك روسيا</w:t>
            </w:r>
          </w:p>
        </w:tc>
      </w:tr>
      <w:tr>
        <w:tc>
          <w:tcPr>
            <w:tcW w:type="dxa" w:w="2160"/>
          </w:tcPr>
          <w:p>
            <w:r>
              <w:rPr>
                <w:sz w:val="17"/>
              </w:rPr>
            </w:r>
            <w:r>
              <w:rPr>
                <w:sz w:val="17"/>
              </w:rPr>
              <w:t>الغرض</w:t>
            </w:r>
          </w:p>
        </w:tc>
        <w:tc>
          <w:tcPr>
            <w:tcW w:type="dxa" w:w="2160"/>
          </w:tcPr>
          <w:p>
            <w:r>
              <w:rPr>
                <w:sz w:val="17"/>
              </w:rPr>
            </w:r>
            <w:r>
              <w:rPr>
                <w:sz w:val="17"/>
              </w:rPr>
              <w:t>حرّ</w:t>
            </w:r>
          </w:p>
        </w:tc>
        <w:tc>
          <w:tcPr>
            <w:tcW w:type="dxa" w:w="2160"/>
          </w:tcPr>
          <w:p>
            <w:r>
              <w:rPr>
                <w:sz w:val="17"/>
              </w:rPr>
            </w:r>
            <w:r>
              <w:rPr>
                <w:sz w:val="17"/>
              </w:rPr>
              <w:t>مستهدف (مشاريع وطنية، بنى تحتية)</w:t>
            </w:r>
          </w:p>
        </w:tc>
        <w:tc>
          <w:tcPr>
            <w:tcW w:type="dxa" w:w="2160"/>
          </w:tcPr>
          <w:p>
            <w:r>
              <w:rPr>
                <w:sz w:val="17"/>
              </w:rPr>
            </w:r>
            <w:r>
              <w:rPr>
                <w:sz w:val="17"/>
              </w:rPr>
              <w:t>مستهدف (مشاريع وطنية، بنى تحتية)</w:t>
            </w:r>
          </w:p>
        </w:tc>
      </w:tr>
      <w:tr>
        <w:tc>
          <w:tcPr>
            <w:tcW w:type="dxa" w:w="2160"/>
          </w:tcPr>
          <w:p>
            <w:r>
              <w:rPr>
                <w:sz w:val="17"/>
              </w:rPr>
            </w:r>
            <w:r>
              <w:rPr>
                <w:sz w:val="17"/>
              </w:rPr>
              <w:t>المحيط</w:t>
            </w:r>
          </w:p>
        </w:tc>
        <w:tc>
          <w:tcPr>
            <w:tcW w:type="dxa" w:w="2160"/>
          </w:tcPr>
          <w:p>
            <w:r>
              <w:rPr>
                <w:sz w:val="17"/>
              </w:rPr>
            </w:r>
            <w:r>
              <w:rPr>
                <w:sz w:val="17"/>
              </w:rPr>
              <w:t>مشغّل خاص، بنك روسيا منظِّم</w:t>
            </w:r>
          </w:p>
        </w:tc>
        <w:tc>
          <w:tcPr>
            <w:tcW w:type="dxa" w:w="2160"/>
          </w:tcPr>
          <w:p>
            <w:r>
              <w:rPr>
                <w:sz w:val="17"/>
              </w:rPr>
            </w:r>
            <w:r>
              <w:rPr>
                <w:sz w:val="17"/>
              </w:rPr>
              <w:t>شراكة تقنية مع مشغّل 779-P + بنك روسيا منظِّمًا إشرافيًّا وفق المادة 4 من 86-FZ</w:t>
            </w:r>
          </w:p>
        </w:tc>
        <w:tc>
          <w:tcPr>
            <w:tcW w:type="dxa" w:w="2160"/>
          </w:tcPr>
          <w:p>
            <w:r>
              <w:rPr>
                <w:sz w:val="17"/>
              </w:rPr>
            </w:r>
            <w:r>
              <w:rPr>
                <w:sz w:val="17"/>
              </w:rPr>
              <w:t>شراكة تقنية + بنك روسيا مُصدِرًا في التفويض الموسَّع</w:t>
            </w:r>
          </w:p>
        </w:tc>
      </w:tr>
      <w:tr>
        <w:tc>
          <w:tcPr>
            <w:tcW w:type="dxa" w:w="2160"/>
          </w:tcPr>
          <w:p>
            <w:r>
              <w:rPr>
                <w:sz w:val="17"/>
              </w:rPr>
            </w:r>
            <w:r>
              <w:rPr>
                <w:sz w:val="17"/>
              </w:rPr>
              <w:t>إعادة الأصل</w:t>
            </w:r>
          </w:p>
        </w:tc>
        <w:tc>
          <w:tcPr>
            <w:tcW w:type="dxa" w:w="2160"/>
          </w:tcPr>
          <w:p>
            <w:r>
              <w:rPr>
                <w:sz w:val="17"/>
              </w:rPr>
            </w:r>
            <w:r>
              <w:rPr>
                <w:sz w:val="17"/>
              </w:rPr>
              <w:t>غير منطبق</w:t>
            </w:r>
          </w:p>
        </w:tc>
        <w:tc>
          <w:tcPr>
            <w:tcW w:type="dxa" w:w="2160"/>
          </w:tcPr>
          <w:p>
            <w:r>
              <w:rPr>
                <w:sz w:val="17"/>
              </w:rPr>
            </w:r>
            <w:r>
              <w:rPr>
                <w:sz w:val="17"/>
              </w:rPr>
              <w:t>بعد انتهاء المشروع — مَيناء وإعادة</w:t>
            </w:r>
          </w:p>
        </w:tc>
        <w:tc>
          <w:tcPr>
            <w:tcW w:type="dxa" w:w="2160"/>
          </w:tcPr>
          <w:p>
            <w:r>
              <w:rPr>
                <w:sz w:val="17"/>
              </w:rPr>
            </w:r>
            <w:r>
              <w:rPr>
                <w:sz w:val="17"/>
              </w:rPr>
              <w:t>بعد انتهاء المشروع — مَيناء وإعادة</w:t>
            </w:r>
          </w:p>
        </w:tc>
      </w:tr>
    </w:tbl>
    <w:p/>
    <w:p>
      <w:pPr>
        <w:pStyle w:val="Heading3"/>
      </w:pPr>
      <w:r>
        <w:t>3.3. المزايا (وفق مفهوم المؤلف)</w:t>
      </w:r>
    </w:p>
    <w:p>
      <w:pPr>
        <w:pStyle w:val="ListNumber"/>
      </w:pPr>
      <w:r>
        <w:t>تفاعل مباشر عبر الإنترنت بين الراهن والوكلاء الماليين والمنفذين تحت إشراف بنك روسيا.</w:t>
      </w:r>
    </w:p>
    <w:p>
      <w:pPr>
        <w:pStyle w:val="ListNumber"/>
      </w:pPr>
      <w:r>
        <w:t>تقليص مدد التقييم وتسجيل الرهن.</w:t>
      </w:r>
    </w:p>
    <w:p>
      <w:pPr>
        <w:pStyle w:val="ListNumber"/>
      </w:pPr>
      <w:r>
        <w:t>دفعة لتطوير قطاع DFA في روسيا.</w:t>
      </w:r>
    </w:p>
    <w:p>
      <w:pPr>
        <w:pStyle w:val="ListNumber"/>
      </w:pPr>
      <w:r>
        <w:t>تعبئة الأصول الخاصة «النائمة» في الدورة الاقتصادية.</w:t>
      </w:r>
    </w:p>
    <w:p>
      <w:pPr>
        <w:pStyle w:val="ListNumber"/>
      </w:pPr>
      <w:r>
        <w:t>إيجاد حلول لمشاريع الدولة الكبرى دون زيادة عبء الدَّين.</w:t>
      </w:r>
    </w:p>
    <w:p>
      <w:pPr>
        <w:pStyle w:val="ListNumber"/>
      </w:pPr>
      <w:r>
        <w:t>تقليص قوائم الانتظار لتمويل المشاريع الكبرى.</w:t>
      </w:r>
    </w:p>
    <w:p>
      <w:pPr>
        <w:pStyle w:val="ListNumber"/>
      </w:pPr>
      <w:r>
        <w:t>دفعة للقطاع الاقتصادي الحقيقي.</w:t>
      </w:r>
    </w:p>
    <w:p>
      <w:pPr>
        <w:pStyle w:val="ListNumber"/>
      </w:pPr>
      <w:r>
        <w:t>تمويل خارج الميزانية لمشاريع الدولة في الصناعات كثيفة رأس المال (الصناعة الثقيلة، صناعة الآلات، الطب، العلوم).</w:t>
      </w:r>
    </w:p>
    <w:p>
      <w:pPr>
        <w:pStyle w:val="ListNumber"/>
      </w:pPr>
      <w:r>
        <w:t>مكافأة مالية لمالك المال المرهون.</w:t>
      </w:r>
    </w:p>
    <w:p>
      <w:pPr>
        <w:pStyle w:val="ListNumber"/>
      </w:pPr>
      <w:r>
        <w:t>الإبقاء على ديناميكيات التضخّم في نطاقها الاعتيادي (الإصدار مقابل أصول مضمونة بالكامل).</w:t>
      </w:r>
    </w:p>
    <w:p>
      <w:pPr>
        <w:pStyle w:val="Heading3"/>
      </w:pPr>
      <w:r>
        <w:t>3.4. شروط الإطلاق</w:t>
      </w:r>
    </w:p>
    <w:p>
      <w:pPr>
        <w:jc w:val="both"/>
      </w:pPr>
      <w:r>
        <w:rPr>
          <w:b/>
        </w:rPr>
        <w:t>المرحلة 1 (pilot-light 2028–2029) — دون تعديلات على القوانين الاتحادية:</w:t>
      </w:r>
    </w:p>
    <w:p>
      <w:pPr>
        <w:pStyle w:val="ListNumber"/>
      </w:pPr>
      <w:r>
        <w:t>تأسيس JSC المشغّل وإدراج الشريك التقني في سجل مشغّلي نظام معلومات DFA وفق اللائحة 779-P (المسار الحرج — اعتماد SKZI T+9…T+18 شهرًا).</w:t>
      </w:r>
    </w:p>
    <w:p>
      <w:pPr>
        <w:pStyle w:val="ListNumber"/>
      </w:pPr>
      <w:r>
        <w:t>الموافقة على قواعد نظام المعلومات وفق المادة 6 من 259-FZ مع بنك روسيا.</w:t>
      </w:r>
    </w:p>
    <w:p>
      <w:pPr>
        <w:pStyle w:val="ListNumber"/>
      </w:pPr>
      <w:r>
        <w:t>خطاب استشاري من FPF VEB.RF بشأن انطباق قرار الحكومة رقم 158 على مشاريع CPFSR.</w:t>
      </w:r>
    </w:p>
    <w:p>
      <w:pPr>
        <w:pStyle w:val="ListNumber"/>
      </w:pPr>
      <w:r>
        <w:t>MoU مع الإقليم التجريبي (تتارستان / تيومين) لمحفظة تجريبية 5–10 مليار ₽.</w:t>
      </w:r>
    </w:p>
    <w:p>
      <w:pPr>
        <w:pStyle w:val="ListNumber"/>
      </w:pPr>
      <w:r>
        <w:t>MoU مع بنك شريك (بنك شريك) في دور بنك التسوية ووكيل escrow.</w:t>
      </w:r>
    </w:p>
    <w:p>
      <w:pPr>
        <w:jc w:val="both"/>
      </w:pPr>
      <w:r>
        <w:rPr>
          <w:b/>
        </w:rPr>
        <w:t>المرحلة 2 (أفق 2029+، T+36+):</w:t>
      </w:r>
    </w:p>
    <w:p>
      <w:pPr>
        <w:pStyle w:val="ListNumber"/>
      </w:pPr>
      <w:r>
        <w:t>سجل أعمال إيجابي للمرحلة 1 ≥ 12 شهرًا من التشغيل الصناعي.</w:t>
      </w:r>
    </w:p>
    <w:p>
      <w:pPr>
        <w:pStyle w:val="ListNumber"/>
      </w:pPr>
      <w:r>
        <w:t>موقف بين الإدارات (وزارة التنمية الاقتصادية / وزارة المالية / VEB.RF / الدوما).</w:t>
      </w:r>
    </w:p>
    <w:p>
      <w:pPr>
        <w:pStyle w:val="ListNumber"/>
      </w:pPr>
      <w:r>
        <w:t>حزمة 4 تعديلات (86-FZ، 259-FZ، قانون الميزانية، القانون المدني) + لوائح فرعية.</w:t>
      </w:r>
    </w:p>
    <w:p>
      <w:pPr>
        <w:pStyle w:val="Heading2"/>
      </w:pPr>
      <w:r>
        <w:t>4. تحليل السوق</w:t>
      </w:r>
    </w:p>
    <w:p>
      <w:pPr>
        <w:pStyle w:val="Heading3"/>
      </w:pPr>
      <w:r>
        <w:t>4.1. سوق DFA في الاتحاد الروسي</w:t>
      </w:r>
    </w:p>
    <w:p>
      <w:pPr>
        <w:jc w:val="both"/>
      </w:pPr>
      <w:r>
        <w:t>منذ 2022 يسري في الاتحاد الروسي القانون الاتحادي 259-FZ «بشأن الأصول المالية الرقمية» الذي أرسى الإطار القانوني لإصدار DFA وتداولها. يعمل في السوق مشغّلو أنظمة معلومات معتمدون من بنك روسيا (تُنشر المعلومات في سجل بنك روسيا).</w:t>
      </w:r>
    </w:p>
    <w:p>
      <w:pPr>
        <w:jc w:val="both"/>
      </w:pPr>
      <w:r>
        <w:t>وفق البيانات المفتوحة، يبلغ إجمالي حجم إصدارات DFA في الاتحاد الروسي للفترة 2023–2025 مئات مليارات الروبلات ويُظهر نموًّا واثقًا. الفئات السائدة — المطالبات النقدية، DFA المؤسسية، DFA على المعادن. لا توجد DFA بضمان عقاري مع إصدار مباشر لأموال بنك روسيا في الممارسة السوقية الحالية.</w:t>
      </w:r>
    </w:p>
    <w:p>
      <w:pPr>
        <w:pStyle w:val="Heading3"/>
      </w:pPr>
      <w:r>
        <w:t>4.2. حجم قاعدة الضمانات في الاتحاد الروسي</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القطاع</w:t>
            </w:r>
          </w:p>
        </w:tc>
        <w:tc>
          <w:tcPr>
            <w:tcW w:type="dxa" w:w="2880"/>
          </w:tcPr>
          <w:p>
            <w:r>
              <w:rPr>
                <w:b/>
                <w:sz w:val="17"/>
              </w:rPr>
            </w:r>
            <w:r>
              <w:rPr>
                <w:b/>
                <w:sz w:val="17"/>
              </w:rPr>
              <w:t>الحجم، تريليون ₽</w:t>
            </w:r>
          </w:p>
        </w:tc>
        <w:tc>
          <w:tcPr>
            <w:tcW w:type="dxa" w:w="2880"/>
          </w:tcPr>
          <w:p>
            <w:r>
              <w:rPr>
                <w:b/>
                <w:sz w:val="17"/>
              </w:rPr>
            </w:r>
            <w:r>
              <w:rPr>
                <w:b/>
                <w:sz w:val="17"/>
              </w:rPr>
              <w:t>المصدر</w:t>
            </w:r>
          </w:p>
        </w:tc>
      </w:tr>
      <w:tr>
        <w:tc>
          <w:tcPr>
            <w:tcW w:type="dxa" w:w="2880"/>
          </w:tcPr>
          <w:p>
            <w:r>
              <w:rPr>
                <w:sz w:val="17"/>
              </w:rPr>
            </w:r>
            <w:r>
              <w:rPr>
                <w:sz w:val="17"/>
              </w:rPr>
              <w:t>المخزون السكني (4.7 مليار م² × 85 000 ₽/م²)</w:t>
            </w:r>
          </w:p>
        </w:tc>
        <w:tc>
          <w:tcPr>
            <w:tcW w:type="dxa" w:w="2880"/>
          </w:tcPr>
          <w:p>
            <w:r>
              <w:rPr>
                <w:sz w:val="17"/>
              </w:rPr>
            </w:r>
            <w:r>
              <w:rPr>
                <w:sz w:val="17"/>
              </w:rPr>
              <w:t>400</w:t>
            </w:r>
          </w:p>
        </w:tc>
        <w:tc>
          <w:tcPr>
            <w:tcW w:type="dxa" w:w="2880"/>
          </w:tcPr>
          <w:p>
            <w:r>
              <w:rPr>
                <w:sz w:val="17"/>
              </w:rPr>
            </w:r>
            <w:r>
              <w:rPr>
                <w:sz w:val="17"/>
              </w:rPr>
              <w:t>مفهوم المؤلف، Rosstat</w:t>
            </w:r>
          </w:p>
        </w:tc>
      </w:tr>
      <w:tr>
        <w:tc>
          <w:tcPr>
            <w:tcW w:type="dxa" w:w="2880"/>
          </w:tcPr>
          <w:p>
            <w:r>
              <w:rPr>
                <w:sz w:val="17"/>
              </w:rPr>
            </w:r>
            <w:r>
              <w:rPr>
                <w:sz w:val="17"/>
              </w:rPr>
              <w:t>العقارات التجارية</w:t>
            </w:r>
          </w:p>
        </w:tc>
        <w:tc>
          <w:tcPr>
            <w:tcW w:type="dxa" w:w="2880"/>
          </w:tcPr>
          <w:p>
            <w:r>
              <w:rPr>
                <w:sz w:val="17"/>
              </w:rPr>
            </w:r>
            <w:r>
              <w:rPr>
                <w:sz w:val="17"/>
              </w:rPr>
              <w:t>45</w:t>
            </w:r>
          </w:p>
        </w:tc>
        <w:tc>
          <w:tcPr>
            <w:tcW w:type="dxa" w:w="2880"/>
          </w:tcPr>
          <w:p>
            <w:r>
              <w:rPr>
                <w:sz w:val="17"/>
              </w:rPr>
            </w:r>
            <w:r>
              <w:rPr>
                <w:sz w:val="17"/>
              </w:rPr>
              <w:t>مفهوم المؤلف</w:t>
            </w:r>
          </w:p>
        </w:tc>
      </w:tr>
      <w:tr>
        <w:tc>
          <w:tcPr>
            <w:tcW w:type="dxa" w:w="2880"/>
          </w:tcPr>
          <w:p>
            <w:r>
              <w:rPr>
                <w:sz w:val="17"/>
              </w:rPr>
            </w:r>
            <w:r>
              <w:rPr>
                <w:sz w:val="17"/>
              </w:rPr>
              <w:t>قطع الأراضي (سكن فردي + تحت المؤسسات)</w:t>
            </w:r>
          </w:p>
        </w:tc>
        <w:tc>
          <w:tcPr>
            <w:tcW w:type="dxa" w:w="2880"/>
          </w:tcPr>
          <w:p>
            <w:r>
              <w:rPr>
                <w:sz w:val="17"/>
              </w:rPr>
            </w:r>
            <w:r>
              <w:rPr>
                <w:sz w:val="17"/>
              </w:rPr>
              <w:t>62</w:t>
            </w:r>
          </w:p>
        </w:tc>
        <w:tc>
          <w:tcPr>
            <w:tcW w:type="dxa" w:w="2880"/>
          </w:tcPr>
          <w:p>
            <w:r>
              <w:rPr>
                <w:sz w:val="17"/>
              </w:rPr>
            </w:r>
            <w:r>
              <w:rPr>
                <w:sz w:val="17"/>
              </w:rPr>
              <w:t>مفهوم المؤلف</w:t>
            </w:r>
          </w:p>
        </w:tc>
      </w:tr>
      <w:tr>
        <w:tc>
          <w:tcPr>
            <w:tcW w:type="dxa" w:w="2880"/>
          </w:tcPr>
          <w:p>
            <w:r>
              <w:rPr>
                <w:sz w:val="17"/>
              </w:rPr>
            </w:r>
            <w:r>
              <w:rPr>
                <w:b/>
                <w:sz w:val="17"/>
              </w:rPr>
              <w:t>المجموع</w:t>
            </w:r>
          </w:p>
        </w:tc>
        <w:tc>
          <w:tcPr>
            <w:tcW w:type="dxa" w:w="2880"/>
          </w:tcPr>
          <w:p>
            <w:r>
              <w:rPr>
                <w:sz w:val="17"/>
              </w:rPr>
            </w:r>
            <w:r>
              <w:rPr>
                <w:b/>
                <w:sz w:val="17"/>
              </w:rPr>
              <w:t>507</w:t>
            </w:r>
          </w:p>
        </w:tc>
        <w:tc>
          <w:tcPr>
            <w:tcW w:type="dxa" w:w="2880"/>
          </w:tcPr>
          <w:p>
            <w:r>
              <w:rPr>
                <w:sz w:val="17"/>
              </w:rPr>
            </w:r>
          </w:p>
        </w:tc>
      </w:tr>
      <w:tr>
        <w:tc>
          <w:tcPr>
            <w:tcW w:type="dxa" w:w="2880"/>
          </w:tcPr>
          <w:p>
            <w:r>
              <w:rPr>
                <w:sz w:val="17"/>
              </w:rPr>
            </w:r>
            <w:r>
              <w:rPr>
                <w:b/>
                <w:sz w:val="17"/>
              </w:rPr>
              <w:t>القاعدة المحافظة (10 % × 50 %)</w:t>
            </w:r>
          </w:p>
        </w:tc>
        <w:tc>
          <w:tcPr>
            <w:tcW w:type="dxa" w:w="2880"/>
          </w:tcPr>
          <w:p>
            <w:r>
              <w:rPr>
                <w:sz w:val="17"/>
              </w:rPr>
            </w:r>
            <w:r>
              <w:rPr>
                <w:b/>
                <w:sz w:val="17"/>
              </w:rPr>
              <w:t>25</w:t>
            </w:r>
          </w:p>
        </w:tc>
        <w:tc>
          <w:tcPr>
            <w:tcW w:type="dxa" w:w="2880"/>
          </w:tcPr>
          <w:p>
            <w:r>
              <w:rPr>
                <w:sz w:val="17"/>
              </w:rPr>
            </w:r>
            <w:r>
              <w:rPr>
                <w:sz w:val="17"/>
              </w:rPr>
              <w:t>مفهوم المؤلف</w:t>
            </w:r>
          </w:p>
        </w:tc>
      </w:tr>
    </w:tbl>
    <w:p/>
    <w:p>
      <w:pPr>
        <w:jc w:val="both"/>
      </w:pPr>
      <w:r>
        <w:t>القاعدة المحافظة 25 تريليون ₽ هي «السعة المستهدفة» التي تسعى المنصة إليها على أفق 10 سنوات.</w:t>
      </w:r>
    </w:p>
    <w:p>
      <w:pPr>
        <w:pStyle w:val="Heading3"/>
      </w:pPr>
      <w:r>
        <w:t>4.3. تقسيم الطلب</w:t>
      </w:r>
    </w:p>
    <w:p>
      <w:pPr>
        <w:jc w:val="both"/>
      </w:pPr>
      <w:r>
        <w:rPr>
          <w:b/>
        </w:rPr>
        <w:t>الأفراد (B2C):</w:t>
      </w:r>
      <w:r>
        <w:t xml:space="preserve"> مالكو العقارات السكنية ذوو التدفق النقدي المستقر، الباحثون عن طرق لتحقيق دخل من الأصل دون بيعه. الفئة المستهدفة — نحو 30–40 % من الأسر في المدن الكبرى والمتوسطة.</w:t>
      </w:r>
    </w:p>
    <w:p>
      <w:pPr>
        <w:jc w:val="both"/>
      </w:pPr>
      <w:r>
        <w:rPr>
          <w:b/>
        </w:rPr>
        <w:t>الأشخاص الاعتبارية (B2B):</w:t>
      </w:r>
      <w:r>
        <w:t xml:space="preserve"> مالكو العقارات التجارية — المؤجّرون، المطوّرون، السلاسل التجارية. المؤسسات الصناعية ذات الأصول العقارية. الشركات القابضة بأصول غير أساسية.</w:t>
      </w:r>
    </w:p>
    <w:p>
      <w:pPr>
        <w:jc w:val="both"/>
      </w:pPr>
      <w:r>
        <w:rPr>
          <w:b/>
        </w:rPr>
        <w:t>المؤسسات الحكومية (B2G):</w:t>
      </w:r>
      <w:r>
        <w:t xml:space="preserve"> مالكو أصول البنية التحتية والأصول ذات الأهمية الاجتماعية (بما في ذلك عبر الشركات التابعة). الأقاليم والبلديات — لتمويل البرامج الإقليمية برهن ممتلكات بلدية.</w:t>
      </w:r>
    </w:p>
    <w:p>
      <w:pPr>
        <w:pStyle w:val="Heading3"/>
      </w:pPr>
      <w:r>
        <w:t>4.4. المنافسون</w:t>
      </w:r>
    </w:p>
    <w:p>
      <w:pPr>
        <w:jc w:val="both"/>
      </w:pPr>
      <w:r>
        <w:t>في المرحلة 1 (пилот 2028–2029) يُعدّ المشغّلون القائمون في سجل 779-P (Sber CFA، Alfa CFA، JSC «Atomyze»، Masterchain) شركاء تقنيين محتملين، لا منافسين على مستوى الترخيص. المنافسون غير المباشرون: الإقراض المصرفي بضمان عقاري (أبطأ، أغلى، دون توجّه نحو المشاريع الوطنية)؛ منصات التمويل الجماعي والاستثماري (أصغر، دون محيط حكومي).</w:t>
      </w:r>
    </w:p>
    <w:p>
      <w:pPr>
        <w:jc w:val="both"/>
      </w:pPr>
      <w:r>
        <w:t>ميزة CPFSR التنافسية — البنية ذات المرحلتين: المرحلة 1 — طبقة front-end متخصّصة فوق مشغّل 779-P مع ربط بتمويل البنى التحتية عبر مصنع VEB.RF (قرار رقم 158) + الخزانة الفيدرالية (قانون الميزانية) والطرح المستهدف في المشاريع الوطنية مع الإبقاء على ملكية الأصل لدى صاحبه. المرحلة 2 (أفق 2029+) — مسار قابل للدفاع نحو نموذج الإصدار المضمون المستهدف من بنك روسيا. ليست «المنتج الأفضل» في الفئة القائمة، بل فئة جديدة من DFA البنى التحتية المستهدف.</w:t>
      </w:r>
    </w:p>
    <w:p>
      <w:pPr>
        <w:pStyle w:val="Heading3"/>
      </w:pPr>
      <w:r>
        <w:t>4.5. البيئة التنظيمية</w:t>
      </w:r>
    </w:p>
    <w:p>
      <w:pPr>
        <w:jc w:val="both"/>
      </w:pPr>
      <w:r>
        <w:rPr>
          <w:b/>
        </w:rPr>
        <w:t>القاعدة الراهنة:</w:t>
      </w:r>
      <w:r>
        <w:t xml:space="preserve"> 86-FZ (بنك روسيا)، 259-FZ (DFA)، 39-FZ (سوق الأوراق المالية)، 102-FZ (الرهن العقاري)، 218-FZ (سجل العقارات الحكومي)، قانون الضرائب (الفصول 21، 25، 34).</w:t>
      </w:r>
    </w:p>
    <w:p>
      <w:pPr>
        <w:jc w:val="both"/>
      </w:pPr>
      <w:r>
        <w:rPr>
          <w:b/>
        </w:rPr>
        <w:t>المرحلة 1 (2028–2029): لا تغييرات تنظيمية مطلوبة.</w:t>
      </w:r>
      <w:r>
        <w:t xml:space="preserve"> يطلق المحيط القريب على القاعدة الحالية 259-FZ + 779-P + قانون الميزانية + قرار رقم 158 + القانون المدني. التعديلات على مستوى قواعد المشغّل (المادة 6 من 259-FZ، الموافقة من بنك روسيا) وهيكل التعاقد مع الشريك التقني (Atomyze أو كيان آخر من سجل 779-P).</w:t>
      </w:r>
    </w:p>
    <w:p>
      <w:pPr>
        <w:jc w:val="both"/>
      </w:pPr>
      <w:r>
        <w:rPr>
          <w:b/>
        </w:rPr>
        <w:t>المرحلة 2 (أفق 2029+): حزمة 4 تعديلات.</w:t>
      </w:r>
      <w:r>
        <w:t xml:space="preserve"> شرط الدخول — سجل أعمال إيجابي للمرحلة 1 لمدة 12 شهرًا على الأقل من التشغيل الصناعي وموقف بين الإدارات. التكوين: 86-FZ (إضفاء الطابع الرسمي على مؤسّسة الإصدار المضمون المستهدف)، 259-FZ (فئة «DFA البنى التحتية المستهدف»)، قانون الميزانية (استلام الخزانة الفيدرالية)، القانون المدني (توسيع escrow إلى حسابات بنك روسيا الخاصة)، لوائح فرعية.</w:t>
      </w:r>
    </w:p>
    <w:p>
      <w:pPr>
        <w:jc w:val="both"/>
      </w:pPr>
      <w:r>
        <w:t>تُوصف هذه الكتلة في وثيقة منفصلة «الإطار القانوني».</w:t>
      </w:r>
    </w:p>
    <w:p>
      <w:pPr>
        <w:pStyle w:val="Heading2"/>
      </w:pPr>
      <w:r>
        <w:t>5. التسويق والمبيعات</w:t>
      </w:r>
    </w:p>
    <w:p>
      <w:pPr>
        <w:pStyle w:val="Heading3"/>
      </w:pPr>
      <w:r>
        <w:t>5.1. قنوات الاستقطاب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القناة</w:t>
            </w:r>
          </w:p>
        </w:tc>
        <w:tc>
          <w:tcPr>
            <w:tcW w:type="dxa" w:w="2880"/>
          </w:tcPr>
          <w:p>
            <w:r>
              <w:rPr>
                <w:b/>
                <w:sz w:val="17"/>
              </w:rPr>
            </w:r>
            <w:r>
              <w:rPr>
                <w:b/>
                <w:sz w:val="17"/>
              </w:rPr>
              <w:t>الجمهور المستهدف</w:t>
            </w:r>
          </w:p>
        </w:tc>
        <w:tc>
          <w:tcPr>
            <w:tcW w:type="dxa" w:w="2880"/>
          </w:tcPr>
          <w:p>
            <w:r>
              <w:rPr>
                <w:b/>
                <w:sz w:val="17"/>
              </w:rPr>
            </w:r>
            <w:r>
              <w:rPr>
                <w:b/>
                <w:sz w:val="17"/>
              </w:rPr>
              <w:t>الحصة المتوقعة من الإصدار</w:t>
            </w:r>
          </w:p>
        </w:tc>
      </w:tr>
      <w:tr>
        <w:tc>
          <w:tcPr>
            <w:tcW w:type="dxa" w:w="2880"/>
          </w:tcPr>
          <w:p>
            <w:r>
              <w:rPr>
                <w:sz w:val="17"/>
              </w:rPr>
            </w:r>
            <w:r>
              <w:rPr>
                <w:sz w:val="17"/>
              </w:rPr>
              <w:t>البنوك الشريكة (B2B2C)</w:t>
            </w:r>
          </w:p>
        </w:tc>
        <w:tc>
          <w:tcPr>
            <w:tcW w:type="dxa" w:w="2880"/>
          </w:tcPr>
          <w:p>
            <w:r>
              <w:rPr>
                <w:sz w:val="17"/>
              </w:rPr>
            </w:r>
            <w:r>
              <w:rPr>
                <w:sz w:val="17"/>
              </w:rPr>
              <w:t>الأفراد والـ MSE عبر تطبيقات البنوك</w:t>
            </w:r>
          </w:p>
        </w:tc>
        <w:tc>
          <w:tcPr>
            <w:tcW w:type="dxa" w:w="2880"/>
          </w:tcPr>
          <w:p>
            <w:r>
              <w:rPr>
                <w:sz w:val="17"/>
              </w:rPr>
            </w:r>
            <w:r>
              <w:rPr>
                <w:sz w:val="17"/>
              </w:rPr>
              <w:t>40–50 %</w:t>
            </w:r>
          </w:p>
        </w:tc>
      </w:tr>
      <w:tr>
        <w:tc>
          <w:tcPr>
            <w:tcW w:type="dxa" w:w="2880"/>
          </w:tcPr>
          <w:p>
            <w:r>
              <w:rPr>
                <w:sz w:val="17"/>
              </w:rPr>
            </w:r>
            <w:r>
              <w:rPr>
                <w:sz w:val="17"/>
              </w:rPr>
              <w:t>القناة الرقمية المباشرة</w:t>
            </w:r>
          </w:p>
        </w:tc>
        <w:tc>
          <w:tcPr>
            <w:tcW w:type="dxa" w:w="2880"/>
          </w:tcPr>
          <w:p>
            <w:r>
              <w:rPr>
                <w:sz w:val="17"/>
              </w:rPr>
            </w:r>
            <w:r>
              <w:rPr>
                <w:sz w:val="17"/>
              </w:rPr>
              <w:t>مالكو الأصول الكبيرة</w:t>
            </w:r>
          </w:p>
        </w:tc>
        <w:tc>
          <w:tcPr>
            <w:tcW w:type="dxa" w:w="2880"/>
          </w:tcPr>
          <w:p>
            <w:r>
              <w:rPr>
                <w:sz w:val="17"/>
              </w:rPr>
            </w:r>
            <w:r>
              <w:rPr>
                <w:sz w:val="17"/>
              </w:rPr>
              <w:t>15–20 %</w:t>
            </w:r>
          </w:p>
        </w:tc>
      </w:tr>
      <w:tr>
        <w:tc>
          <w:tcPr>
            <w:tcW w:type="dxa" w:w="2880"/>
          </w:tcPr>
          <w:p>
            <w:r>
              <w:rPr>
                <w:sz w:val="17"/>
              </w:rPr>
            </w:r>
            <w:r>
              <w:rPr>
                <w:sz w:val="17"/>
              </w:rPr>
              <w:t>شركات التأمين الشريكة</w:t>
            </w:r>
          </w:p>
        </w:tc>
        <w:tc>
          <w:tcPr>
            <w:tcW w:type="dxa" w:w="2880"/>
          </w:tcPr>
          <w:p>
            <w:r>
              <w:rPr>
                <w:sz w:val="17"/>
              </w:rPr>
            </w:r>
            <w:r>
              <w:rPr>
                <w:sz w:val="17"/>
              </w:rPr>
              <w:t>عبر بيع متقاطع لمنتجات التأمين</w:t>
            </w:r>
          </w:p>
        </w:tc>
        <w:tc>
          <w:tcPr>
            <w:tcW w:type="dxa" w:w="2880"/>
          </w:tcPr>
          <w:p>
            <w:r>
              <w:rPr>
                <w:sz w:val="17"/>
              </w:rPr>
            </w:r>
            <w:r>
              <w:rPr>
                <w:sz w:val="17"/>
              </w:rPr>
              <w:t>10–15 %</w:t>
            </w:r>
          </w:p>
        </w:tc>
      </w:tr>
      <w:tr>
        <w:tc>
          <w:tcPr>
            <w:tcW w:type="dxa" w:w="2880"/>
          </w:tcPr>
          <w:p>
            <w:r>
              <w:rPr>
                <w:sz w:val="17"/>
              </w:rPr>
            </w:r>
            <w:r>
              <w:rPr>
                <w:sz w:val="17"/>
              </w:rPr>
              <w:t>المقيّمون الشركاء</w:t>
            </w:r>
          </w:p>
        </w:tc>
        <w:tc>
          <w:tcPr>
            <w:tcW w:type="dxa" w:w="2880"/>
          </w:tcPr>
          <w:p>
            <w:r>
              <w:rPr>
                <w:sz w:val="17"/>
              </w:rPr>
            </w:r>
            <w:r>
              <w:rPr>
                <w:sz w:val="17"/>
              </w:rPr>
              <w:t>عبر المجتمع المهني</w:t>
            </w:r>
          </w:p>
        </w:tc>
        <w:tc>
          <w:tcPr>
            <w:tcW w:type="dxa" w:w="2880"/>
          </w:tcPr>
          <w:p>
            <w:r>
              <w:rPr>
                <w:sz w:val="17"/>
              </w:rPr>
            </w:r>
            <w:r>
              <w:rPr>
                <w:sz w:val="17"/>
              </w:rPr>
              <w:t>5–10 %</w:t>
            </w:r>
          </w:p>
        </w:tc>
      </w:tr>
      <w:tr>
        <w:tc>
          <w:tcPr>
            <w:tcW w:type="dxa" w:w="2880"/>
          </w:tcPr>
          <w:p>
            <w:r>
              <w:rPr>
                <w:sz w:val="17"/>
              </w:rPr>
            </w:r>
            <w:r>
              <w:rPr>
                <w:sz w:val="17"/>
              </w:rPr>
              <w:t>قناة B2G الحكومية</w:t>
            </w:r>
          </w:p>
        </w:tc>
        <w:tc>
          <w:tcPr>
            <w:tcW w:type="dxa" w:w="2880"/>
          </w:tcPr>
          <w:p>
            <w:r>
              <w:rPr>
                <w:sz w:val="17"/>
              </w:rPr>
            </w:r>
            <w:r>
              <w:rPr>
                <w:sz w:val="17"/>
              </w:rPr>
              <w:t>عبر البرامج الإقليمية والبلدية</w:t>
            </w:r>
          </w:p>
        </w:tc>
        <w:tc>
          <w:tcPr>
            <w:tcW w:type="dxa" w:w="2880"/>
          </w:tcPr>
          <w:p>
            <w:r>
              <w:rPr>
                <w:sz w:val="17"/>
              </w:rPr>
            </w:r>
            <w:r>
              <w:rPr>
                <w:sz w:val="17"/>
              </w:rPr>
              <w:t>15–20 %</w:t>
            </w:r>
          </w:p>
        </w:tc>
      </w:tr>
    </w:tbl>
    <w:p/>
    <w:p>
      <w:pPr>
        <w:pStyle w:val="Heading3"/>
      </w:pPr>
      <w:r>
        <w:t>5.2. Unit-economy</w:t>
      </w:r>
    </w:p>
    <w:p>
      <w:pPr>
        <w:jc w:val="both"/>
      </w:pPr>
      <w:r>
        <w:rPr>
          <w:b/>
        </w:rPr>
        <w:t>الحساب الأساسي على إصدار متوسط.</w:t>
      </w:r>
      <w:r>
        <w:t xml:space="preserve"> متوسط إصدار DFA (للعميل الفرد) — 10 مليون ₽ (بناءً على متوسط قيمة العقار السكني في مدينة كبرى وLTV متوسط 50 %).</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المعطى</w:t>
            </w:r>
          </w:p>
        </w:tc>
        <w:tc>
          <w:tcPr>
            <w:tcW w:type="dxa" w:w="4320"/>
          </w:tcPr>
          <w:p>
            <w:r>
              <w:rPr>
                <w:b/>
                <w:sz w:val="17"/>
              </w:rPr>
            </w:r>
            <w:r>
              <w:rPr>
                <w:b/>
                <w:sz w:val="17"/>
              </w:rPr>
              <w:t>القيمة</w:t>
            </w:r>
          </w:p>
        </w:tc>
      </w:tr>
      <w:tr>
        <w:tc>
          <w:tcPr>
            <w:tcW w:type="dxa" w:w="4320"/>
          </w:tcPr>
          <w:p>
            <w:r>
              <w:rPr>
                <w:sz w:val="17"/>
              </w:rPr>
            </w:r>
            <w:r>
              <w:rPr>
                <w:sz w:val="17"/>
              </w:rPr>
              <w:t>الإصدار المتوسط، ₽</w:t>
            </w:r>
          </w:p>
        </w:tc>
        <w:tc>
          <w:tcPr>
            <w:tcW w:type="dxa" w:w="4320"/>
          </w:tcPr>
          <w:p>
            <w:r>
              <w:rPr>
                <w:sz w:val="17"/>
              </w:rPr>
            </w:r>
            <w:r>
              <w:rPr>
                <w:sz w:val="17"/>
              </w:rPr>
              <w:t>10 000 000</w:t>
            </w:r>
          </w:p>
        </w:tc>
      </w:tr>
      <w:tr>
        <w:tc>
          <w:tcPr>
            <w:tcW w:type="dxa" w:w="4320"/>
          </w:tcPr>
          <w:p>
            <w:r>
              <w:rPr>
                <w:sz w:val="17"/>
              </w:rPr>
            </w:r>
            <w:r>
              <w:rPr>
                <w:sz w:val="17"/>
              </w:rPr>
              <w:t>عمولة الإصدار (0.5 %)، ₽</w:t>
            </w:r>
          </w:p>
        </w:tc>
        <w:tc>
          <w:tcPr>
            <w:tcW w:type="dxa" w:w="4320"/>
          </w:tcPr>
          <w:p>
            <w:r>
              <w:rPr>
                <w:sz w:val="17"/>
              </w:rPr>
            </w:r>
            <w:r>
              <w:rPr>
                <w:sz w:val="17"/>
              </w:rPr>
              <w:t>50 000</w:t>
            </w:r>
          </w:p>
        </w:tc>
      </w:tr>
      <w:tr>
        <w:tc>
          <w:tcPr>
            <w:tcW w:type="dxa" w:w="4320"/>
          </w:tcPr>
          <w:p>
            <w:r>
              <w:rPr>
                <w:sz w:val="17"/>
              </w:rPr>
            </w:r>
            <w:r>
              <w:rPr>
                <w:sz w:val="17"/>
              </w:rPr>
              <w:t>عمولة الخدمة (0.3 % × 5 سنوات)، ₽</w:t>
            </w:r>
          </w:p>
        </w:tc>
        <w:tc>
          <w:tcPr>
            <w:tcW w:type="dxa" w:w="4320"/>
          </w:tcPr>
          <w:p>
            <w:r>
              <w:rPr>
                <w:sz w:val="17"/>
              </w:rPr>
            </w:r>
            <w:r>
              <w:rPr>
                <w:sz w:val="17"/>
              </w:rPr>
              <w:t>150 000</w:t>
            </w:r>
          </w:p>
        </w:tc>
      </w:tr>
      <w:tr>
        <w:tc>
          <w:tcPr>
            <w:tcW w:type="dxa" w:w="4320"/>
          </w:tcPr>
          <w:p>
            <w:r>
              <w:rPr>
                <w:sz w:val="17"/>
              </w:rPr>
            </w:r>
            <w:r>
              <w:rPr>
                <w:sz w:val="17"/>
              </w:rPr>
              <w:t>رسم المنصة (0.15 %)، ₽</w:t>
            </w:r>
          </w:p>
        </w:tc>
        <w:tc>
          <w:tcPr>
            <w:tcW w:type="dxa" w:w="4320"/>
          </w:tcPr>
          <w:p>
            <w:r>
              <w:rPr>
                <w:sz w:val="17"/>
              </w:rPr>
            </w:r>
            <w:r>
              <w:rPr>
                <w:sz w:val="17"/>
              </w:rPr>
              <w:t>15 000</w:t>
            </w:r>
          </w:p>
        </w:tc>
      </w:tr>
      <w:tr>
        <w:tc>
          <w:tcPr>
            <w:tcW w:type="dxa" w:w="4320"/>
          </w:tcPr>
          <w:p>
            <w:r>
              <w:rPr>
                <w:sz w:val="17"/>
              </w:rPr>
            </w:r>
            <w:r>
              <w:rPr>
                <w:b/>
                <w:sz w:val="17"/>
              </w:rPr>
              <w:t>LTV (lifetime value)، ₽</w:t>
            </w:r>
          </w:p>
        </w:tc>
        <w:tc>
          <w:tcPr>
            <w:tcW w:type="dxa" w:w="4320"/>
          </w:tcPr>
          <w:p>
            <w:r>
              <w:rPr>
                <w:sz w:val="17"/>
              </w:rPr>
            </w:r>
            <w:r>
              <w:rPr>
                <w:b/>
                <w:sz w:val="17"/>
              </w:rPr>
              <w:t>215 000</w:t>
            </w:r>
          </w:p>
        </w:tc>
      </w:tr>
      <w:tr>
        <w:tc>
          <w:tcPr>
            <w:tcW w:type="dxa" w:w="4320"/>
          </w:tcPr>
          <w:p>
            <w:r>
              <w:rPr>
                <w:sz w:val="17"/>
              </w:rPr>
            </w:r>
            <w:r>
              <w:rPr>
                <w:b/>
                <w:sz w:val="17"/>
              </w:rPr>
              <w:t>CAC المقدَّر، ₽</w:t>
            </w:r>
          </w:p>
        </w:tc>
        <w:tc>
          <w:tcPr>
            <w:tcW w:type="dxa" w:w="4320"/>
          </w:tcPr>
          <w:p>
            <w:r>
              <w:rPr>
                <w:sz w:val="17"/>
              </w:rPr>
            </w:r>
            <w:r>
              <w:rPr>
                <w:b/>
                <w:sz w:val="17"/>
              </w:rPr>
              <w:t>20 000–40 000</w:t>
            </w:r>
          </w:p>
        </w:tc>
      </w:tr>
      <w:tr>
        <w:tc>
          <w:tcPr>
            <w:tcW w:type="dxa" w:w="4320"/>
          </w:tcPr>
          <w:p>
            <w:r>
              <w:rPr>
                <w:sz w:val="17"/>
              </w:rPr>
            </w:r>
            <w:r>
              <w:rPr>
                <w:b/>
                <w:sz w:val="17"/>
              </w:rPr>
              <w:t>LTV/CAC</w:t>
            </w:r>
          </w:p>
        </w:tc>
        <w:tc>
          <w:tcPr>
            <w:tcW w:type="dxa" w:w="4320"/>
          </w:tcPr>
          <w:p>
            <w:r>
              <w:rPr>
                <w:sz w:val="17"/>
              </w:rPr>
            </w:r>
            <w:r>
              <w:rPr>
                <w:b/>
                <w:sz w:val="17"/>
              </w:rPr>
              <w:t>5–10×</w:t>
            </w:r>
          </w:p>
        </w:tc>
      </w:tr>
      <w:tr>
        <w:tc>
          <w:tcPr>
            <w:tcW w:type="dxa" w:w="4320"/>
          </w:tcPr>
          <w:p>
            <w:r>
              <w:rPr>
                <w:sz w:val="17"/>
              </w:rPr>
            </w:r>
            <w:r>
              <w:rPr>
                <w:sz w:val="17"/>
              </w:rPr>
              <w:t>Payback CAC</w:t>
            </w:r>
          </w:p>
        </w:tc>
        <w:tc>
          <w:tcPr>
            <w:tcW w:type="dxa" w:w="4320"/>
          </w:tcPr>
          <w:p>
            <w:r>
              <w:rPr>
                <w:sz w:val="17"/>
              </w:rPr>
            </w:r>
            <w:r>
              <w:rPr>
                <w:sz w:val="17"/>
              </w:rPr>
              <w:t>4–9 أشهر</w:t>
            </w:r>
          </w:p>
        </w:tc>
      </w:tr>
    </w:tbl>
    <w:p/>
    <w:p>
      <w:pPr>
        <w:ind w:left="360"/>
      </w:pPr>
      <w:r>
        <w:rPr>
          <w:i/>
          <w:color w:val="444444"/>
        </w:rPr>
        <w:t>Unit-economy موجبة من أول إصدار. ارتفاع LTV/CAC نتيجة طول الخدمة (5 سنوات متوسط عمر DFA) وأتمتة عمليات التقييم.</w:t>
      </w:r>
    </w:p>
    <w:p>
      <w:pPr>
        <w:pStyle w:val="Heading3"/>
      </w:pPr>
      <w:r>
        <w:t>5.3. النموذج التشاركي</w:t>
      </w:r>
    </w:p>
    <w:p>
      <w:pPr>
        <w:jc w:val="both"/>
      </w:pPr>
      <w:r>
        <w:rPr>
          <w:b/>
        </w:rPr>
        <w:t>البنوك.</w:t>
      </w:r>
      <w:r>
        <w:t xml:space="preserve"> تتكامل CPFSR في تطبيقات البنوك عبر API. البنك الشريك قناة استقطاب ويتلقّى revenue share (مثلًا 30–50 % من عمولة الإصدار). يمنح ذلك البنك خطّ خدمات جديدًا دون متطلبات تنظيمية إضافية.</w:t>
      </w:r>
    </w:p>
    <w:p>
      <w:pPr>
        <w:jc w:val="both"/>
      </w:pPr>
      <w:r>
        <w:rPr>
          <w:b/>
        </w:rPr>
        <w:t>شركات التأمين.</w:t>
      </w:r>
      <w:r>
        <w:t xml:space="preserve"> التأمين الإلزامي للأصل المرهون — وحدة مُدمَجة. يحصل المؤمِّن على القسط + بيع متقاطع (تأمين السيارات، الممتلكات). تأخذ المنصة agency fee.</w:t>
      </w:r>
    </w:p>
    <w:p>
      <w:pPr>
        <w:jc w:val="both"/>
      </w:pPr>
      <w:r>
        <w:rPr>
          <w:b/>
        </w:rPr>
        <w:t>شركات التقييم.</w:t>
      </w:r>
      <w:r>
        <w:t xml:space="preserve"> يجري المقيّمون المعتمدون التقييم الأولي للضمان؛ تؤتمت المنصة 70–80 % من العملية (تقييم جماعي + مراجعة مكتبية). يحصل المقيّم على رسم ثابت.</w:t>
      </w:r>
    </w:p>
    <w:p>
      <w:pPr>
        <w:jc w:val="both"/>
      </w:pPr>
      <w:r>
        <w:rPr>
          <w:b/>
        </w:rPr>
        <w:t>المكاملون التقنيون.</w:t>
      </w:r>
      <w:r>
        <w:t xml:space="preserve"> إدماج المنصة في بنية الشريك — خدمة منفصلة بنموذج رسوم ثابتة للمشروع.</w:t>
      </w:r>
    </w:p>
    <w:p>
      <w:pPr>
        <w:pStyle w:val="Heading3"/>
      </w:pPr>
      <w:r>
        <w:t>5.4. الخطة التسويقية</w:t>
      </w:r>
    </w:p>
    <w:p>
      <w:pPr>
        <w:pStyle w:val="ListBullet"/>
      </w:pPr>
      <w:r>
        <w:t>2026–2027 (المرحلة 0): عروض مغلقة للجهات التنظيمية ولجان متخصّصة في الدوما وديوان الحكومة.</w:t>
      </w:r>
    </w:p>
    <w:p>
      <w:pPr>
        <w:pStyle w:val="ListBullet"/>
      </w:pPr>
      <w:r>
        <w:t>2027 (المرحلة 1): فعاليات قطاعية (FinTech Forum، SPIEF، Finopolis)، إطلاق موقع B2B والوثائق التقنية.</w:t>
      </w:r>
    </w:p>
    <w:p>
      <w:pPr>
        <w:pStyle w:val="ListBullet"/>
      </w:pPr>
      <w:r>
        <w:t>2027–2028 (المرحلة 2): ضمّ أول 5–10 بنوك شريكة، إطلاق البرامج التجريبية.</w:t>
      </w:r>
    </w:p>
    <w:p>
      <w:pPr>
        <w:pStyle w:val="ListBullet"/>
      </w:pPr>
      <w:r>
        <w:t>2029–2030 (المرحلة 3): حملة B2C واسعة عبر تطبيقات البنوك، برامج إقليمية B2G.</w:t>
      </w:r>
    </w:p>
    <w:p>
      <w:pPr>
        <w:pStyle w:val="ListBullet"/>
      </w:pPr>
      <w:r>
        <w:t>2031+: تموضع دولي (تنسيق BRICS)، نموذج للنسخ في الولايات القضائية الصديقة.</w:t>
      </w:r>
    </w:p>
    <w:p>
      <w:pPr>
        <w:pStyle w:val="Heading2"/>
      </w:pPr>
      <w:r>
        <w:t>6. الخطة التشغيلية</w:t>
      </w:r>
    </w:p>
    <w:p>
      <w:pPr>
        <w:pStyle w:val="Heading3"/>
      </w:pPr>
      <w:r>
        <w:t>6.1. الموقع</w:t>
      </w:r>
    </w:p>
    <w:p>
      <w:pPr>
        <w:jc w:val="both"/>
      </w:pPr>
      <w:r>
        <w:rPr>
          <w:b/>
        </w:rPr>
        <w:t>المقرّ الرئيس</w:t>
      </w:r>
      <w:r>
        <w:t xml:space="preserve"> — موسكو (قرب بنك روسيا، وزارة المالية، وزارة التنمية الاقتصادية، الدوما). الفئة المثلى A أو A+، الموقع في الحي المالي (Moscow-City، Zamoskvorechye، Tverskaya).</w:t>
      </w:r>
    </w:p>
    <w:p>
      <w:pPr>
        <w:jc w:val="both"/>
      </w:pPr>
      <w:r>
        <w:rPr>
          <w:b/>
        </w:rPr>
        <w:t>مواقع مراكز البيانات</w:t>
      </w:r>
      <w:r>
        <w:t xml:space="preserve"> — مركزا بيانات مستقلّان على أراضي الاتحاد الروسي بمستوى Tier-III+، مع تكرار جغرافي (يُوصى بـ موسكو + مركز إقليمي — سانت بطرسبرغ، يكاترينبورغ أو نوفوسيبيرسك). الاتصال عبر مشغّلي اتصالات معتمدين بقنوات مكرَّرة.</w:t>
      </w:r>
    </w:p>
    <w:p>
      <w:pPr>
        <w:pStyle w:val="Heading3"/>
      </w:pPr>
      <w:r>
        <w:t>6.2. الشركاء التقنيون</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الفئة</w:t>
            </w:r>
          </w:p>
        </w:tc>
        <w:tc>
          <w:tcPr>
            <w:tcW w:type="dxa" w:w="4320"/>
          </w:tcPr>
          <w:p>
            <w:r>
              <w:rPr>
                <w:b/>
                <w:sz w:val="17"/>
              </w:rPr>
            </w:r>
            <w:r>
              <w:rPr>
                <w:b/>
                <w:sz w:val="17"/>
              </w:rPr>
              <w:t>نوع الشريك</w:t>
            </w:r>
          </w:p>
        </w:tc>
      </w:tr>
      <w:tr>
        <w:tc>
          <w:tcPr>
            <w:tcW w:type="dxa" w:w="4320"/>
          </w:tcPr>
          <w:p>
            <w:r>
              <w:rPr>
                <w:sz w:val="17"/>
              </w:rPr>
            </w:r>
            <w:r>
              <w:rPr>
                <w:sz w:val="17"/>
              </w:rPr>
              <w:t>مراكز البيانات والاتصال</w:t>
            </w:r>
          </w:p>
        </w:tc>
        <w:tc>
          <w:tcPr>
            <w:tcW w:type="dxa" w:w="4320"/>
          </w:tcPr>
          <w:p>
            <w:r>
              <w:rPr>
                <w:sz w:val="17"/>
              </w:rPr>
            </w:r>
            <w:r>
              <w:rPr>
                <w:sz w:val="17"/>
              </w:rPr>
              <w:t>مشغّلون روس معتمدون (Tier-III+، برخص حكومية)</w:t>
            </w:r>
          </w:p>
        </w:tc>
      </w:tr>
      <w:tr>
        <w:tc>
          <w:tcPr>
            <w:tcW w:type="dxa" w:w="4320"/>
          </w:tcPr>
          <w:p>
            <w:r>
              <w:rPr>
                <w:sz w:val="17"/>
              </w:rPr>
            </w:r>
            <w:r>
              <w:rPr>
                <w:sz w:val="17"/>
              </w:rPr>
              <w:t>الوحدات التشفيرية</w:t>
            </w:r>
          </w:p>
        </w:tc>
        <w:tc>
          <w:tcPr>
            <w:tcW w:type="dxa" w:w="4320"/>
          </w:tcPr>
          <w:p>
            <w:r>
              <w:rPr>
                <w:sz w:val="17"/>
              </w:rPr>
            </w:r>
            <w:r>
              <w:rPr>
                <w:sz w:val="17"/>
              </w:rPr>
              <w:t>مزوّدو تشفير روس معتمدون من FSB</w:t>
            </w:r>
          </w:p>
        </w:tc>
      </w:tr>
      <w:tr>
        <w:tc>
          <w:tcPr>
            <w:tcW w:type="dxa" w:w="4320"/>
          </w:tcPr>
          <w:p>
            <w:r>
              <w:rPr>
                <w:sz w:val="17"/>
              </w:rPr>
            </w:r>
            <w:r>
              <w:rPr>
                <w:sz w:val="17"/>
              </w:rPr>
              <w:t>منظومات التقييم</w:t>
            </w:r>
          </w:p>
        </w:tc>
        <w:tc>
          <w:tcPr>
            <w:tcW w:type="dxa" w:w="4320"/>
          </w:tcPr>
          <w:p>
            <w:r>
              <w:rPr>
                <w:sz w:val="17"/>
              </w:rPr>
            </w:r>
            <w:r>
              <w:rPr>
                <w:sz w:val="17"/>
              </w:rPr>
              <w:t>مقيّمون روس معتمدون، قادة السوق أولًا</w:t>
            </w:r>
          </w:p>
        </w:tc>
      </w:tr>
      <w:tr>
        <w:tc>
          <w:tcPr>
            <w:tcW w:type="dxa" w:w="4320"/>
          </w:tcPr>
          <w:p>
            <w:r>
              <w:rPr>
                <w:sz w:val="17"/>
              </w:rPr>
            </w:r>
            <w:r>
              <w:rPr>
                <w:sz w:val="17"/>
              </w:rPr>
              <w:t>التأمين</w:t>
            </w:r>
          </w:p>
        </w:tc>
        <w:tc>
          <w:tcPr>
            <w:tcW w:type="dxa" w:w="4320"/>
          </w:tcPr>
          <w:p>
            <w:r>
              <w:rPr>
                <w:sz w:val="17"/>
              </w:rPr>
            </w:r>
            <w:r>
              <w:rPr>
                <w:sz w:val="17"/>
              </w:rPr>
              <w:t>أعلى 20 شركة تأمين في الاتحاد الروسي</w:t>
            </w:r>
          </w:p>
        </w:tc>
      </w:tr>
      <w:tr>
        <w:tc>
          <w:tcPr>
            <w:tcW w:type="dxa" w:w="4320"/>
          </w:tcPr>
          <w:p>
            <w:r>
              <w:rPr>
                <w:sz w:val="17"/>
              </w:rPr>
            </w:r>
            <w:r>
              <w:rPr>
                <w:sz w:val="17"/>
              </w:rPr>
              <w:t>الجهات الحكومية</w:t>
            </w:r>
          </w:p>
        </w:tc>
        <w:tc>
          <w:tcPr>
            <w:tcW w:type="dxa" w:w="4320"/>
          </w:tcPr>
          <w:p>
            <w:r>
              <w:rPr>
                <w:sz w:val="17"/>
              </w:rPr>
            </w:r>
            <w:r>
              <w:rPr>
                <w:sz w:val="17"/>
              </w:rPr>
              <w:t>Rosreestr، شرطة المرور، جهات الإيداع، الخزانة الفيدرالية (عبر قنوات SMEV الآمنة)</w:t>
            </w:r>
          </w:p>
        </w:tc>
      </w:tr>
      <w:tr>
        <w:tc>
          <w:tcPr>
            <w:tcW w:type="dxa" w:w="4320"/>
          </w:tcPr>
          <w:p>
            <w:r>
              <w:rPr>
                <w:sz w:val="17"/>
              </w:rPr>
            </w:r>
            <w:r>
              <w:rPr>
                <w:sz w:val="17"/>
              </w:rPr>
              <w:t>التدقيق</w:t>
            </w:r>
          </w:p>
        </w:tc>
        <w:tc>
          <w:tcPr>
            <w:tcW w:type="dxa" w:w="4320"/>
          </w:tcPr>
          <w:p>
            <w:r>
              <w:rPr>
                <w:sz w:val="17"/>
              </w:rPr>
            </w:r>
            <w:r>
              <w:rPr>
                <w:sz w:val="17"/>
              </w:rPr>
              <w:t>مدقّقون مستقلّون من سجل بنك روسيا</w:t>
            </w:r>
          </w:p>
        </w:tc>
      </w:tr>
    </w:tbl>
    <w:p/>
    <w:p>
      <w:pPr>
        <w:pStyle w:val="Heading3"/>
      </w:pPr>
      <w:r>
        <w:t>6.3. الهيكل التنظيمي</w:t>
      </w:r>
    </w:p>
    <w:p>
      <w:pPr>
        <w:jc w:val="both"/>
      </w:pPr>
      <w:r>
        <w:rPr>
          <w:b/>
        </w:rPr>
        <w:t>مستويات الإدارة:</w:t>
      </w:r>
      <w:r>
        <w:t xml:space="preserve"> مجلس الإدارة (5–9 أشخاص بمن فيهم مستقلّون)، المجلس التنفيذي (CEO + 5–7 رؤساء وظائف). الوظائف: التطوير والبنية التحتية (CTO)، العمليات وخدمة العملاء (COO)، المالية (CFO)، القانون والامتثال (CCO)، إدارة المخاطر (CRO)، BD والشراكات (CBO/CRO)، التسويق وPR (CMO)، الموارد البشرية والثقافة (CHRO).</w:t>
      </w:r>
    </w:p>
    <w:p>
      <w:pPr>
        <w:pStyle w:val="Heading3"/>
      </w:pPr>
      <w:r>
        <w:t>6.4. الكوادر (FTE حسب السنوات)</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السنة</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FTE</w:t>
            </w:r>
          </w:p>
        </w:tc>
        <w:tc>
          <w:tcPr>
            <w:tcW w:type="dxa" w:w="785"/>
          </w:tcPr>
          <w:p>
            <w:r>
              <w:rPr>
                <w:sz w:val="17"/>
              </w:rPr>
            </w:r>
            <w:r>
              <w:rPr>
                <w:sz w:val="17"/>
              </w:rPr>
              <w:t>40</w:t>
            </w:r>
          </w:p>
        </w:tc>
        <w:tc>
          <w:tcPr>
            <w:tcW w:type="dxa" w:w="785"/>
          </w:tcPr>
          <w:p>
            <w:r>
              <w:rPr>
                <w:sz w:val="17"/>
              </w:rPr>
            </w:r>
            <w:r>
              <w:rPr>
                <w:sz w:val="17"/>
              </w:rPr>
              <w:t>120</w:t>
            </w:r>
          </w:p>
        </w:tc>
        <w:tc>
          <w:tcPr>
            <w:tcW w:type="dxa" w:w="785"/>
          </w:tcPr>
          <w:p>
            <w:r>
              <w:rPr>
                <w:sz w:val="17"/>
              </w:rPr>
            </w:r>
            <w:r>
              <w:rPr>
                <w:sz w:val="17"/>
              </w:rPr>
              <w:t>160</w:t>
            </w:r>
          </w:p>
        </w:tc>
        <w:tc>
          <w:tcPr>
            <w:tcW w:type="dxa" w:w="785"/>
          </w:tcPr>
          <w:p>
            <w:r>
              <w:rPr>
                <w:sz w:val="17"/>
              </w:rPr>
            </w:r>
            <w:r>
              <w:rPr>
                <w:sz w:val="17"/>
              </w:rPr>
              <w:t>200</w:t>
            </w:r>
          </w:p>
        </w:tc>
        <w:tc>
          <w:tcPr>
            <w:tcW w:type="dxa" w:w="785"/>
          </w:tcPr>
          <w:p>
            <w:r>
              <w:rPr>
                <w:sz w:val="17"/>
              </w:rPr>
            </w:r>
            <w:r>
              <w:rPr>
                <w:sz w:val="17"/>
              </w:rPr>
              <w:t>240</w:t>
            </w:r>
          </w:p>
        </w:tc>
        <w:tc>
          <w:tcPr>
            <w:tcW w:type="dxa" w:w="785"/>
          </w:tcPr>
          <w:p>
            <w:r>
              <w:rPr>
                <w:sz w:val="17"/>
              </w:rPr>
            </w:r>
            <w:r>
              <w:rPr>
                <w:sz w:val="17"/>
              </w:rPr>
              <w:t>270</w:t>
            </w:r>
          </w:p>
        </w:tc>
        <w:tc>
          <w:tcPr>
            <w:tcW w:type="dxa" w:w="785"/>
          </w:tcPr>
          <w:p>
            <w:r>
              <w:rPr>
                <w:sz w:val="17"/>
              </w:rPr>
            </w:r>
            <w:r>
              <w:rPr>
                <w:sz w:val="17"/>
              </w:rPr>
              <w:t>300</w:t>
            </w:r>
          </w:p>
        </w:tc>
        <w:tc>
          <w:tcPr>
            <w:tcW w:type="dxa" w:w="785"/>
          </w:tcPr>
          <w:p>
            <w:r>
              <w:rPr>
                <w:sz w:val="17"/>
              </w:rPr>
            </w:r>
            <w:r>
              <w:rPr>
                <w:sz w:val="17"/>
              </w:rPr>
              <w:t>330</w:t>
            </w:r>
          </w:p>
        </w:tc>
        <w:tc>
          <w:tcPr>
            <w:tcW w:type="dxa" w:w="785"/>
          </w:tcPr>
          <w:p>
            <w:r>
              <w:rPr>
                <w:sz w:val="17"/>
              </w:rPr>
            </w:r>
            <w:r>
              <w:rPr>
                <w:sz w:val="17"/>
              </w:rPr>
              <w:t>350</w:t>
            </w:r>
          </w:p>
        </w:tc>
        <w:tc>
          <w:tcPr>
            <w:tcW w:type="dxa" w:w="785"/>
          </w:tcPr>
          <w:p>
            <w:r>
              <w:rPr>
                <w:sz w:val="17"/>
              </w:rPr>
            </w:r>
            <w:r>
              <w:rPr>
                <w:sz w:val="17"/>
              </w:rPr>
              <w:t>370</w:t>
            </w:r>
          </w:p>
        </w:tc>
      </w:tr>
    </w:tbl>
    <w:p/>
    <w:p>
      <w:pPr>
        <w:jc w:val="both"/>
      </w:pPr>
      <w:r>
        <w:t>الهيكل بنهاية السنة 2 (120 FTE): التطوير والبنية التحتية 50 (42 %)، العمليات وخدمة العملاء 20 (17 %)، القانون والامتثال 15 (12.5 %)، إدارة المخاطر 10 (8 %)، BD والشراكات 10 (8 %)، المالية 8 (7 %)، التسويق وPR 4 (3 %)، الموارد البشرية والثقافة 3 (2.5 %).</w:t>
      </w:r>
    </w:p>
    <w:p>
      <w:pPr>
        <w:pStyle w:val="Heading2"/>
      </w:pPr>
      <w:r>
        <w:t>7. الخطة التقنية</w:t>
      </w:r>
    </w:p>
    <w:p>
      <w:pPr>
        <w:jc w:val="both"/>
      </w:pPr>
      <w:r>
        <w:t xml:space="preserve">محيط CPFSR التقني موصوف في وثيقة منفصلة «الوثائق التقنية» (المجلد </w:t>
      </w:r>
      <w:r>
        <w:rPr>
          <w:rFonts w:ascii="Consolas" w:hAnsi="Consolas"/>
          <w:sz w:val="18"/>
        </w:rPr>
        <w:t>01_Техническая_документация</w:t>
      </w:r>
      <w:r>
        <w:t>).</w:t>
      </w:r>
    </w:p>
    <w:p>
      <w:pPr>
        <w:jc w:val="both"/>
      </w:pPr>
      <w:r>
        <w:t>المبادئ المعمارية الرئيسة:</w:t>
      </w:r>
    </w:p>
    <w:p>
      <w:pPr>
        <w:pStyle w:val="ListNumber"/>
      </w:pPr>
      <w:r>
        <w:t>معمارية microservices على حزمة تقنيات روسية (Astra Linux، SUBD من سجل البرمجيات، وحدات التشفير الروسية).</w:t>
      </w:r>
    </w:p>
    <w:p>
      <w:pPr>
        <w:pStyle w:val="ListNumber"/>
      </w:pPr>
      <w:r>
        <w:t>تكرار جغرافي بين مركزَي بيانات بـ RPO ≤ 5 د، RTO ≤ 30 د.</w:t>
      </w:r>
    </w:p>
    <w:p>
      <w:pPr>
        <w:pStyle w:val="ListNumber"/>
      </w:pPr>
      <w:r>
        <w:t>نموذج أمن متعدّد الطبقات (مطابقة 152-FZ، متطلبات FSTEC، GOST).</w:t>
      </w:r>
    </w:p>
    <w:p>
      <w:pPr>
        <w:pStyle w:val="ListNumber"/>
      </w:pPr>
      <w:r>
        <w:t>ناقل تكامل لربط البنوك، التأمين، المقيّمين، الجهات الحكومية.</w:t>
      </w:r>
    </w:p>
    <w:p>
      <w:pPr>
        <w:pStyle w:val="ListNumber"/>
      </w:pPr>
      <w:r>
        <w:t>الهوية الرقمية — Gosuslugi، SBP (للأفراد)؛ EP وEDO — للأشخاص الاعتبارية.</w:t>
      </w:r>
    </w:p>
    <w:p>
      <w:pPr>
        <w:pStyle w:val="ListNumber"/>
      </w:pPr>
      <w:r>
        <w:t>سجل موزَّع لتسجيل DFA (على منصّة روسية معتمدة).</w:t>
      </w:r>
    </w:p>
    <w:p>
      <w:pPr>
        <w:pStyle w:val="ListNumber"/>
      </w:pPr>
      <w:r>
        <w:t>مطابقة كاملة لمتطلبات بنك روسيا لمشغّلي DFA.</w:t>
      </w:r>
    </w:p>
    <w:p>
      <w:pPr>
        <w:pStyle w:val="Heading3"/>
      </w:pPr>
      <w:r>
        <w:t>جاهزية الجانب العميل (حالة 2026)</w:t>
      </w:r>
    </w:p>
    <w:p>
      <w:pPr>
        <w:jc w:val="both"/>
      </w:pPr>
      <w:r>
        <w:t xml:space="preserve">عند بدء المفاوضات مع بنك روسيا والمستثمرين، الجانب العميل من المنصة </w:t>
      </w:r>
      <w:r>
        <w:rPr>
          <w:b/>
        </w:rPr>
        <w:t>مطوَّر بالكامل</w:t>
      </w:r>
      <w:r>
        <w:t>:</w:t>
      </w:r>
    </w:p>
    <w:p>
      <w:pPr>
        <w:pStyle w:val="ListBullet"/>
      </w:pPr>
      <w:r>
        <w:rPr>
          <w:b/>
        </w:rPr>
        <w:t>تطبيق الجوّال بصيغة Progressive Web App</w:t>
      </w:r>
      <w:r>
        <w:t xml:space="preserve"> — 23 شاشة، الدورة الكاملة لـ 19 خطوة للمؤلف (من التسجيل إلى مَيناء DFA)، 4 سمات، 4 لغات (الروسية، الإنجليزية، الفرنسية، العربية مع RTL)، Service Worker للوضع غير المتصل، manifest.json للتثبيت على الجهاز.</w:t>
      </w:r>
    </w:p>
    <w:p>
      <w:pPr>
        <w:pStyle w:val="ListBullet"/>
      </w:pPr>
      <w:r>
        <w:rPr>
          <w:b/>
        </w:rPr>
        <w:t>وثائق التصميم وفق GOST 19</w:t>
      </w:r>
      <w:r>
        <w:t xml:space="preserve"> — 12 وثيقة من TZ (19.201) إلى بيان وثائق التشغيل (19.507)، جاهزة للتقديم في سجل MinCifra (قرار رقم 1236) ولاعتمادات FSTEC / FSB.</w:t>
      </w:r>
    </w:p>
    <w:p>
      <w:pPr>
        <w:pStyle w:val="ListBullet"/>
      </w:pPr>
      <w:r>
        <w:rPr>
          <w:b/>
        </w:rPr>
        <w:t>builds Capacitor 6 للمنصات</w:t>
      </w:r>
      <w:r>
        <w:t xml:space="preserve"> — إعدادات وتعليمات تغليف في تطبيقات Android (AAB لـ RuStore وGoogle Play)، iOS (App Store)، Windows (MSIX لـ Microsoft Store).</w:t>
      </w:r>
    </w:p>
    <w:p>
      <w:pPr>
        <w:pStyle w:val="ListBullet"/>
      </w:pPr>
      <w:r>
        <w:rPr>
          <w:b/>
        </w:rPr>
        <w:t>حزمة نشر RuStore</w:t>
      </w:r>
      <w:r>
        <w:t xml:space="preserve"> — وصف للكاتالوغ، سياسة خصوصية (وفق 152-FZ)، شروط الاستخدام، مواد ترويجية، قائمة فحص النشر.</w:t>
      </w:r>
    </w:p>
    <w:p>
      <w:pPr>
        <w:jc w:val="both"/>
      </w:pPr>
      <w:r>
        <w:t>جاهزية الجانب العميل تقلّص أفق الوصول للتجربة بنحو 3 أشهر وتخفّض مخاطرة التطوير التقنية. منعكسة في التقييم الدولي المحدَّث (Reasoned Value pre-money — 80 مليون $ في المنطقة الأساسية).</w:t>
      </w:r>
    </w:p>
    <w:p>
      <w:pPr>
        <w:pStyle w:val="Heading2"/>
      </w:pPr>
      <w:r>
        <w:t>8. خريطة الطريق</w:t>
      </w:r>
    </w:p>
    <w:p>
      <w:pPr>
        <w:pStyle w:val="Heading3"/>
      </w:pPr>
      <w:r>
        <w:t>2027 — التحضير</w:t>
      </w:r>
    </w:p>
    <w:p>
      <w:pPr>
        <w:jc w:val="both"/>
      </w:pPr>
      <w:r>
        <w:t>تسجيل الشخص الاعتباري؛ استقطاب التمويل الأولي (1.8 مليار ₽)؛ تشكيل الفريق (40 → 120 شخصًا)؛ تطوير المنصة (المرحلة 1: النواة، وحدات التقييم، تسجيل الرهن، إصدار DFA)؛ مرافقة قانونية للتعديلات في 86-FZ و259-FZ؛ الحصول على ترخيص بنك روسيا؛ الاعتماد في سجل مشغّلي أنظمة المعلومات.</w:t>
      </w:r>
    </w:p>
    <w:p>
      <w:pPr>
        <w:pStyle w:val="Heading3"/>
      </w:pPr>
      <w:r>
        <w:t>2028–2029 — التجربة</w:t>
      </w:r>
    </w:p>
    <w:p>
      <w:pPr>
        <w:jc w:val="both"/>
      </w:pPr>
      <w:r>
        <w:t>إطلاق برامج تجريبية مع 2–3 بنوك شريكة؛ أول إصدارات DFA (حجم ~112 مليار ₽ في 2028، ~526 مليار ₽ في 2029)؛ تطوير العمليات على عيّنة محدودة؛ التكامل مع Rosreestr وجهات الإيداع والخزانة الفيدرالية؛ ربط أوائل شركات التأمين وشركات التقييم.</w:t>
      </w:r>
    </w:p>
    <w:p>
      <w:pPr>
        <w:pStyle w:val="Heading3"/>
      </w:pPr>
      <w:r>
        <w:t>2027+ — التوسّع</w:t>
      </w:r>
    </w:p>
    <w:p>
      <w:pPr>
        <w:jc w:val="both"/>
      </w:pPr>
      <w:r>
        <w:t>توسيع شبكة الشركاء؛ توسيع الإصدارات (حجم سنوي من 1.3 تريليون ₽ في 2030 إلى 6.93 تريليون ₽ في 2036)؛ ربط البرامج الحكومية للتمويل عبر محيط الضمان لدى بنك روسيا؛ إطلاق قنوات الأفراد عبر تطبيقات البنوك؛ التحضير لتصدير النموذج إلى ولايات قضائية صديقة (صيغة BRICS).</w:t>
      </w:r>
    </w:p>
    <w:p>
      <w:pPr>
        <w:pStyle w:val="Heading2"/>
      </w:pPr>
      <w:r>
        <w:t>9. الخطة المالية</w:t>
      </w:r>
    </w:p>
    <w:p>
      <w:pPr>
        <w:jc w:val="both"/>
      </w:pPr>
      <w:r>
        <w:t xml:space="preserve">الحسابات الكاملة — في </w:t>
      </w:r>
      <w:r>
        <w:rPr>
          <w:rFonts w:ascii="Consolas" w:hAnsi="Consolas"/>
          <w:sz w:val="18"/>
        </w:rPr>
        <w:t>Финансовая_модель_ЦП_РСФСР.md</w:t>
      </w:r>
      <w:r>
        <w:t xml:space="preserve"> ومذكّرة </w:t>
      </w:r>
      <w:r>
        <w:rPr>
          <w:rFonts w:ascii="Consolas" w:hAnsi="Consolas"/>
          <w:sz w:val="18"/>
        </w:rPr>
        <w:t>Финмодель_допущения_и_расчёты.md</w:t>
      </w:r>
      <w:r>
        <w:t>.</w:t>
      </w:r>
    </w:p>
    <w:p>
      <w:pPr>
        <w:pStyle w:val="Heading3"/>
      </w:pPr>
      <w:r>
        <w:t>9.1. ملخّص مختصر للسيناريو الأساسي</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KPI</w:t>
            </w:r>
          </w:p>
        </w:tc>
        <w:tc>
          <w:tcPr>
            <w:tcW w:type="dxa" w:w="4320"/>
          </w:tcPr>
          <w:p>
            <w:r>
              <w:rPr>
                <w:b/>
                <w:sz w:val="17"/>
              </w:rPr>
            </w:r>
            <w:r>
              <w:rPr>
                <w:b/>
                <w:sz w:val="17"/>
              </w:rPr>
              <w:t>القيمة</w:t>
            </w:r>
          </w:p>
        </w:tc>
      </w:tr>
      <w:tr>
        <w:tc>
          <w:tcPr>
            <w:tcW w:type="dxa" w:w="4320"/>
          </w:tcPr>
          <w:p>
            <w:r>
              <w:rPr>
                <w:sz w:val="17"/>
              </w:rPr>
            </w:r>
            <w:r>
              <w:rPr>
                <w:sz w:val="17"/>
              </w:rPr>
              <w:t>NPV @ WACC 29.5% (مع TV، g = 4 %)</w:t>
            </w:r>
          </w:p>
        </w:tc>
        <w:tc>
          <w:tcPr>
            <w:tcW w:type="dxa" w:w="4320"/>
          </w:tcPr>
          <w:p>
            <w:r>
              <w:rPr>
                <w:sz w:val="17"/>
              </w:rPr>
            </w:r>
            <w:r>
              <w:rPr>
                <w:sz w:val="17"/>
              </w:rPr>
              <w:t>63.0 مليار ₽</w:t>
            </w:r>
          </w:p>
        </w:tc>
      </w:tr>
      <w:tr>
        <w:tc>
          <w:tcPr>
            <w:tcW w:type="dxa" w:w="4320"/>
          </w:tcPr>
          <w:p>
            <w:r>
              <w:rPr>
                <w:sz w:val="17"/>
              </w:rPr>
            </w:r>
            <w:r>
              <w:rPr>
                <w:sz w:val="17"/>
              </w:rPr>
              <w:t>الاسترداد المخصوم</w:t>
            </w:r>
          </w:p>
        </w:tc>
        <w:tc>
          <w:tcPr>
            <w:tcW w:type="dxa" w:w="4320"/>
          </w:tcPr>
          <w:p>
            <w:r>
              <w:rPr>
                <w:sz w:val="17"/>
              </w:rPr>
            </w:r>
            <w:r>
              <w:rPr>
                <w:sz w:val="17"/>
              </w:rPr>
              <w:t>3.05 سنة</w:t>
            </w:r>
          </w:p>
        </w:tc>
      </w:tr>
      <w:tr>
        <w:tc>
          <w:tcPr>
            <w:tcW w:type="dxa" w:w="4320"/>
          </w:tcPr>
          <w:p>
            <w:r>
              <w:rPr>
                <w:sz w:val="17"/>
              </w:rPr>
            </w:r>
            <w:r>
              <w:rPr>
                <w:sz w:val="17"/>
              </w:rPr>
              <w:t>Payback</w:t>
            </w:r>
          </w:p>
        </w:tc>
        <w:tc>
          <w:tcPr>
            <w:tcW w:type="dxa" w:w="4320"/>
          </w:tcPr>
          <w:p>
            <w:r>
              <w:rPr>
                <w:sz w:val="17"/>
              </w:rPr>
            </w:r>
            <w:r>
              <w:rPr>
                <w:sz w:val="17"/>
              </w:rPr>
              <w:t>2.8 سنة</w:t>
            </w:r>
          </w:p>
        </w:tc>
      </w:tr>
      <w:tr>
        <w:tc>
          <w:tcPr>
            <w:tcW w:type="dxa" w:w="4320"/>
          </w:tcPr>
          <w:p>
            <w:r>
              <w:rPr>
                <w:sz w:val="17"/>
              </w:rPr>
            </w:r>
            <w:r>
              <w:rPr>
                <w:sz w:val="17"/>
              </w:rPr>
              <w:t>ذروة الحاجة للتمويل</w:t>
            </w:r>
          </w:p>
        </w:tc>
        <w:tc>
          <w:tcPr>
            <w:tcW w:type="dxa" w:w="4320"/>
          </w:tcPr>
          <w:p>
            <w:r>
              <w:rPr>
                <w:sz w:val="17"/>
              </w:rPr>
            </w:r>
            <w:r>
              <w:rPr>
                <w:sz w:val="17"/>
              </w:rPr>
              <w:t>1.70 مليار ₽ (نهاية 2028)</w:t>
            </w:r>
          </w:p>
        </w:tc>
      </w:tr>
      <w:tr>
        <w:tc>
          <w:tcPr>
            <w:tcW w:type="dxa" w:w="4320"/>
          </w:tcPr>
          <w:p>
            <w:r>
              <w:rPr>
                <w:sz w:val="17"/>
              </w:rPr>
            </w:r>
            <w:r>
              <w:rPr>
                <w:sz w:val="17"/>
              </w:rPr>
              <w:t>إيراد 2029</w:t>
            </w:r>
          </w:p>
        </w:tc>
        <w:tc>
          <w:tcPr>
            <w:tcW w:type="dxa" w:w="4320"/>
          </w:tcPr>
          <w:p>
            <w:r>
              <w:rPr>
                <w:sz w:val="17"/>
              </w:rPr>
            </w:r>
            <w:r>
              <w:rPr>
                <w:sz w:val="17"/>
              </w:rPr>
              <w:t>37.5 مليار ₽</w:t>
            </w:r>
          </w:p>
        </w:tc>
      </w:tr>
      <w:tr>
        <w:tc>
          <w:tcPr>
            <w:tcW w:type="dxa" w:w="4320"/>
          </w:tcPr>
          <w:p>
            <w:r>
              <w:rPr>
                <w:sz w:val="17"/>
              </w:rPr>
            </w:r>
            <w:r>
              <w:rPr>
                <w:sz w:val="17"/>
              </w:rPr>
              <w:t>إيراد 2034</w:t>
            </w:r>
          </w:p>
        </w:tc>
        <w:tc>
          <w:tcPr>
            <w:tcW w:type="dxa" w:w="4320"/>
          </w:tcPr>
          <w:p>
            <w:r>
              <w:rPr>
                <w:sz w:val="17"/>
              </w:rPr>
            </w:r>
            <w:r>
              <w:rPr>
                <w:sz w:val="17"/>
              </w:rPr>
              <w:t>142.6 مليار ₽</w:t>
            </w:r>
          </w:p>
        </w:tc>
      </w:tr>
      <w:tr>
        <w:tc>
          <w:tcPr>
            <w:tcW w:type="dxa" w:w="4320"/>
          </w:tcPr>
          <w:p>
            <w:r>
              <w:rPr>
                <w:sz w:val="17"/>
              </w:rPr>
            </w:r>
            <w:r>
              <w:rPr>
                <w:sz w:val="17"/>
              </w:rPr>
              <w:t>EBITDA 2036</w:t>
            </w:r>
          </w:p>
        </w:tc>
        <w:tc>
          <w:tcPr>
            <w:tcW w:type="dxa" w:w="4320"/>
          </w:tcPr>
          <w:p>
            <w:r>
              <w:rPr>
                <w:sz w:val="17"/>
              </w:rPr>
            </w:r>
            <w:r>
              <w:rPr>
                <w:sz w:val="17"/>
              </w:rPr>
              <w:t>107.1 مليار ₽</w:t>
            </w:r>
          </w:p>
        </w:tc>
      </w:tr>
      <w:tr>
        <w:tc>
          <w:tcPr>
            <w:tcW w:type="dxa" w:w="4320"/>
          </w:tcPr>
          <w:p>
            <w:r>
              <w:rPr>
                <w:sz w:val="17"/>
              </w:rPr>
            </w:r>
            <w:r>
              <w:rPr>
                <w:sz w:val="17"/>
              </w:rPr>
              <w:t>هامش EBITDA 2034</w:t>
            </w:r>
          </w:p>
        </w:tc>
        <w:tc>
          <w:tcPr>
            <w:tcW w:type="dxa" w:w="4320"/>
          </w:tcPr>
          <w:p>
            <w:r>
              <w:rPr>
                <w:sz w:val="17"/>
              </w:rPr>
            </w:r>
            <w:r>
              <w:rPr>
                <w:sz w:val="17"/>
              </w:rPr>
              <w:t>74.8 %</w:t>
            </w:r>
          </w:p>
        </w:tc>
      </w:tr>
    </w:tbl>
    <w:p/>
    <w:p>
      <w:pPr>
        <w:pStyle w:val="Heading3"/>
      </w:pPr>
      <w:r>
        <w:t>9.2. السيناريوهات</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السيناريو</w:t>
            </w:r>
          </w:p>
        </w:tc>
        <w:tc>
          <w:tcPr>
            <w:tcW w:type="dxa" w:w="1728"/>
          </w:tcPr>
          <w:p>
            <w:r>
              <w:rPr>
                <w:b/>
                <w:sz w:val="17"/>
              </w:rPr>
            </w:r>
            <w:r>
              <w:rPr>
                <w:b/>
                <w:sz w:val="17"/>
              </w:rPr>
              <w:t>الحصة السوقية سنة 10</w:t>
            </w:r>
          </w:p>
        </w:tc>
        <w:tc>
          <w:tcPr>
            <w:tcW w:type="dxa" w:w="1728"/>
          </w:tcPr>
          <w:p>
            <w:r>
              <w:rPr>
                <w:b/>
                <w:sz w:val="17"/>
              </w:rPr>
            </w:r>
            <w:r>
              <w:rPr>
                <w:b/>
                <w:sz w:val="17"/>
              </w:rPr>
              <w:t>الوزن</w:t>
            </w:r>
          </w:p>
        </w:tc>
        <w:tc>
          <w:tcPr>
            <w:tcW w:type="dxa" w:w="1728"/>
          </w:tcPr>
          <w:p>
            <w:r>
              <w:rPr>
                <w:b/>
                <w:sz w:val="17"/>
              </w:rPr>
            </w:r>
            <w:r>
              <w:rPr>
                <w:b/>
                <w:sz w:val="17"/>
              </w:rPr>
              <w:t>قيمة المشروع، مليار ₽</w:t>
            </w:r>
          </w:p>
        </w:tc>
        <w:tc>
          <w:tcPr>
            <w:tcW w:type="dxa" w:w="1728"/>
          </w:tcPr>
          <w:p>
            <w:r>
              <w:rPr>
                <w:b/>
                <w:sz w:val="17"/>
              </w:rPr>
            </w:r>
            <w:r>
              <w:rPr>
                <w:b/>
                <w:sz w:val="17"/>
              </w:rPr>
              <w:t>الاسترداد، سنوات</w:t>
            </w:r>
          </w:p>
        </w:tc>
      </w:tr>
      <w:tr>
        <w:tc>
          <w:tcPr>
            <w:tcW w:type="dxa" w:w="1728"/>
          </w:tcPr>
          <w:p>
            <w:r>
              <w:rPr>
                <w:sz w:val="17"/>
              </w:rPr>
            </w:r>
            <w:r>
              <w:rPr>
                <w:sz w:val="17"/>
              </w:rPr>
              <w:t>المحافظ (القانون 259-FZ وحده)</w:t>
            </w:r>
          </w:p>
        </w:tc>
        <w:tc>
          <w:tcPr>
            <w:tcW w:type="dxa" w:w="1728"/>
          </w:tcPr>
          <w:p>
            <w:r>
              <w:rPr>
                <w:sz w:val="17"/>
              </w:rPr>
            </w:r>
            <w:r>
              <w:rPr>
                <w:sz w:val="17"/>
              </w:rPr>
              <w:t>7 %</w:t>
            </w:r>
          </w:p>
        </w:tc>
        <w:tc>
          <w:tcPr>
            <w:tcW w:type="dxa" w:w="1728"/>
          </w:tcPr>
          <w:p>
            <w:r>
              <w:rPr>
                <w:sz w:val="17"/>
              </w:rPr>
            </w:r>
            <w:r>
              <w:rPr>
                <w:sz w:val="17"/>
              </w:rPr>
              <w:t>15 %</w:t>
            </w:r>
          </w:p>
        </w:tc>
        <w:tc>
          <w:tcPr>
            <w:tcW w:type="dxa" w:w="1728"/>
          </w:tcPr>
          <w:p>
            <w:r>
              <w:rPr>
                <w:sz w:val="17"/>
              </w:rPr>
            </w:r>
            <w:r>
              <w:rPr>
                <w:sz w:val="17"/>
              </w:rPr>
              <w:t>20.1</w:t>
            </w:r>
          </w:p>
        </w:tc>
        <w:tc>
          <w:tcPr>
            <w:tcW w:type="dxa" w:w="1728"/>
          </w:tcPr>
          <w:p>
            <w:r>
              <w:rPr>
                <w:sz w:val="17"/>
              </w:rPr>
            </w:r>
            <w:r>
              <w:rPr>
                <w:sz w:val="17"/>
              </w:rPr>
              <w:t>3.94</w:t>
            </w:r>
          </w:p>
        </w:tc>
      </w:tr>
      <w:tr>
        <w:tc>
          <w:tcPr>
            <w:tcW w:type="dxa" w:w="1728"/>
          </w:tcPr>
          <w:p>
            <w:r>
              <w:rPr>
                <w:sz w:val="17"/>
              </w:rPr>
            </w:r>
            <w:r>
              <w:rPr>
                <w:b/>
                <w:sz w:val="17"/>
              </w:rPr>
              <w:t>الأساسي</w:t>
            </w:r>
            <w:r>
              <w:rPr>
                <w:sz w:val="17"/>
              </w:rPr>
              <w:t xml:space="preserve"> (تجربة 2028–2029)</w:t>
            </w:r>
          </w:p>
        </w:tc>
        <w:tc>
          <w:tcPr>
            <w:tcW w:type="dxa" w:w="1728"/>
          </w:tcPr>
          <w:p>
            <w:r>
              <w:rPr>
                <w:sz w:val="17"/>
              </w:rPr>
            </w:r>
            <w:r>
              <w:rPr>
                <w:b/>
                <w:sz w:val="17"/>
              </w:rPr>
              <w:t>18 %</w:t>
            </w:r>
          </w:p>
        </w:tc>
        <w:tc>
          <w:tcPr>
            <w:tcW w:type="dxa" w:w="1728"/>
          </w:tcPr>
          <w:p>
            <w:r>
              <w:rPr>
                <w:sz w:val="17"/>
              </w:rPr>
            </w:r>
            <w:r>
              <w:rPr>
                <w:b/>
                <w:sz w:val="17"/>
              </w:rPr>
              <w:t>55 %</w:t>
            </w:r>
          </w:p>
        </w:tc>
        <w:tc>
          <w:tcPr>
            <w:tcW w:type="dxa" w:w="1728"/>
          </w:tcPr>
          <w:p>
            <w:r>
              <w:rPr>
                <w:sz w:val="17"/>
              </w:rPr>
            </w:r>
            <w:r>
              <w:rPr>
                <w:b/>
                <w:sz w:val="17"/>
              </w:rPr>
              <w:t>63.0</w:t>
            </w:r>
          </w:p>
        </w:tc>
        <w:tc>
          <w:tcPr>
            <w:tcW w:type="dxa" w:w="1728"/>
          </w:tcPr>
          <w:p>
            <w:r>
              <w:rPr>
                <w:sz w:val="17"/>
              </w:rPr>
            </w:r>
            <w:r>
              <w:rPr>
                <w:b/>
                <w:sz w:val="17"/>
              </w:rPr>
              <w:t>2.73</w:t>
            </w:r>
          </w:p>
        </w:tc>
      </w:tr>
      <w:tr>
        <w:tc>
          <w:tcPr>
            <w:tcW w:type="dxa" w:w="1728"/>
          </w:tcPr>
          <w:p>
            <w:r>
              <w:rPr>
                <w:sz w:val="17"/>
              </w:rPr>
            </w:r>
            <w:r>
              <w:rPr>
                <w:sz w:val="17"/>
              </w:rPr>
              <w:t>المتفائل (اعتماد الحزمة التنظيمية)</w:t>
            </w:r>
          </w:p>
        </w:tc>
        <w:tc>
          <w:tcPr>
            <w:tcW w:type="dxa" w:w="1728"/>
          </w:tcPr>
          <w:p>
            <w:r>
              <w:rPr>
                <w:sz w:val="17"/>
              </w:rPr>
            </w:r>
            <w:r>
              <w:rPr>
                <w:sz w:val="17"/>
              </w:rPr>
              <w:t>25 %</w:t>
            </w:r>
          </w:p>
        </w:tc>
        <w:tc>
          <w:tcPr>
            <w:tcW w:type="dxa" w:w="1728"/>
          </w:tcPr>
          <w:p>
            <w:r>
              <w:rPr>
                <w:sz w:val="17"/>
              </w:rPr>
            </w:r>
            <w:r>
              <w:rPr>
                <w:sz w:val="17"/>
              </w:rPr>
              <w:t>30 %</w:t>
            </w:r>
          </w:p>
        </w:tc>
        <w:tc>
          <w:tcPr>
            <w:tcW w:type="dxa" w:w="1728"/>
          </w:tcPr>
          <w:p>
            <w:r>
              <w:rPr>
                <w:sz w:val="17"/>
              </w:rPr>
            </w:r>
            <w:r>
              <w:rPr>
                <w:sz w:val="17"/>
              </w:rPr>
              <w:t>90.2</w:t>
            </w:r>
          </w:p>
        </w:tc>
        <w:tc>
          <w:tcPr>
            <w:tcW w:type="dxa" w:w="1728"/>
          </w:tcPr>
          <w:p>
            <w:r>
              <w:rPr>
                <w:sz w:val="17"/>
              </w:rPr>
            </w:r>
            <w:r>
              <w:rPr>
                <w:sz w:val="17"/>
              </w:rPr>
              <w:t>2.38</w:t>
            </w:r>
          </w:p>
        </w:tc>
      </w:tr>
      <w:tr>
        <w:tc>
          <w:tcPr>
            <w:tcW w:type="dxa" w:w="1728"/>
          </w:tcPr>
          <w:p>
            <w:r>
              <w:rPr>
                <w:sz w:val="17"/>
              </w:rPr>
            </w:r>
            <w:r>
              <w:rPr>
                <w:b/>
                <w:sz w:val="17"/>
              </w:rPr>
              <w:t>القيمة المتوقعة</w:t>
            </w:r>
          </w:p>
        </w:tc>
        <w:tc>
          <w:tcPr>
            <w:tcW w:type="dxa" w:w="1728"/>
          </w:tcPr>
          <w:p>
            <w:r>
              <w:rPr>
                <w:sz w:val="17"/>
              </w:rPr>
            </w:r>
            <w:r>
              <w:rPr>
                <w:sz w:val="17"/>
              </w:rPr>
              <w:t>—</w:t>
            </w:r>
          </w:p>
        </w:tc>
        <w:tc>
          <w:tcPr>
            <w:tcW w:type="dxa" w:w="1728"/>
          </w:tcPr>
          <w:p>
            <w:r>
              <w:rPr>
                <w:sz w:val="17"/>
              </w:rPr>
            </w:r>
            <w:r>
              <w:rPr>
                <w:sz w:val="17"/>
              </w:rPr>
              <w:t>100 %</w:t>
            </w:r>
          </w:p>
        </w:tc>
        <w:tc>
          <w:tcPr>
            <w:tcW w:type="dxa" w:w="1728"/>
          </w:tcPr>
          <w:p>
            <w:r>
              <w:rPr>
                <w:sz w:val="17"/>
              </w:rPr>
            </w:r>
            <w:r>
              <w:rPr>
                <w:b/>
                <w:sz w:val="17"/>
              </w:rPr>
              <w:t>64.7</w:t>
            </w:r>
          </w:p>
        </w:tc>
        <w:tc>
          <w:tcPr>
            <w:tcW w:type="dxa" w:w="1728"/>
          </w:tcPr>
          <w:p>
            <w:r>
              <w:rPr>
                <w:sz w:val="17"/>
              </w:rPr>
            </w:r>
            <w:r>
              <w:rPr>
                <w:sz w:val="17"/>
              </w:rPr>
              <w:t>—</w:t>
            </w:r>
          </w:p>
        </w:tc>
      </w:tr>
    </w:tbl>
    <w:p/>
    <w:p>
      <w:pPr>
        <w:jc w:val="both"/>
      </w:pPr>
      <w:r>
        <w:t>بُنيت سلسلة تدفقات كاملة لكل سيناريو؛ ولا تختلف السيناريوهات إلا في الحصة السوقية المستهدفة في السنة العاشرة.</w:t>
      </w:r>
    </w:p>
    <w:p>
      <w:pPr>
        <w:jc w:val="both"/>
      </w:pPr>
      <w:r>
        <w:rPr>
          <w:b/>
        </w:rPr>
        <w:t>عن معدل العائد الداخلي.</w:t>
      </w:r>
      <w:r>
        <w:t xml:space="preserve"> على تدفقات المشروع يبلغ 182 % في السيناريو الأساسي. وليس هذا ميزةً للمشروع بل دلالة على أن النموذج لا يعكس التكلفة الكاملة لدخول السوق: رأسمال مشغّل نظام المعلومات، والاحتياطيات، وتكلفة استقطاب الراهنين. وينبغي أن تستند المفاوضات إلى قيمة المشروع وإلى حساب المستثمر.</w:t>
      </w:r>
    </w:p>
    <w:p>
      <w:pPr>
        <w:jc w:val="both"/>
      </w:pPr>
      <w:r>
        <w:rPr>
          <w:b/>
        </w:rPr>
        <w:t>حساب المستثمر.</w:t>
      </w:r>
      <w:r>
        <w:t xml:space="preserve"> عند قيمة دخول محسوبة قدرها 248 مليون دولار وجولة قدرها 25 مليون دولار تبلغ حصة المستثمر 9.21 %؛ وعند الخروج في 2033 تبلغ المتحصلات 33.1 مليار ₽، ومضاعف العائد 18.4×، ومعدل العائد الداخلي للمستثمر 51.6 %. ويفترض الحساب تنفيذ الخطة بالكامل، فهو حد أعلى. أما قيمة الدخول نفسها فتتطلب قرارًا من المالك: إذ يبلغ الفارق بين مداخل التقييم اثني عشر ضعفًا، وتعطي مداخل المرحلة المبكرة 20–35 مليون دولار مقابل 352 مليون دولار في مدخل الدخل.</w:t>
      </w:r>
    </w:p>
    <w:p>
      <w:pPr>
        <w:jc w:val="both"/>
      </w:pPr>
      <w:r>
        <w:rPr>
          <w:b/>
        </w:rPr>
        <w:t>تأخر الإطلاق هو الخطر الرئيسي على القيمة.</w:t>
      </w:r>
      <w:r>
        <w:t xml:space="preserve"> إزاحة أول إصدار سنةً واحدة تخفض قيمة المشروع من 63.0 إلى 46.4 مليار ₽ وترفع الحاجة التمويلية من 1.70 إلى 3.44 مليار ₽؛ وإزاحته سنتين تعطي 32.5 مليار ₽ و5.53 مليار ₽ على التوالي.</w:t>
      </w:r>
    </w:p>
    <w:p>
      <w:pPr>
        <w:pStyle w:val="Heading3"/>
      </w:pPr>
      <w:r>
        <w:t>9.3. الحاجة للتمويل واستخدام الأموال</w:t>
      </w:r>
    </w:p>
    <w:p>
      <w:pPr>
        <w:jc w:val="both"/>
      </w:pPr>
      <w:r>
        <w:t>الحاجة الأولية — 1.8 مليار ₽ لمدة 24 شهرًا (2027–2028). وذروة الحاجة المحسوبة 1,701 مليون ₽؛ والباقي احتياطي.</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الاتجاه</w:t>
            </w:r>
          </w:p>
        </w:tc>
        <w:tc>
          <w:tcPr>
            <w:tcW w:type="dxa" w:w="2880"/>
          </w:tcPr>
          <w:p>
            <w:r>
              <w:rPr>
                <w:b/>
                <w:sz w:val="17"/>
              </w:rPr>
            </w:r>
            <w:r>
              <w:rPr>
                <w:b/>
                <w:sz w:val="17"/>
              </w:rPr>
              <w:t>مليون ₽</w:t>
            </w:r>
          </w:p>
        </w:tc>
        <w:tc>
          <w:tcPr>
            <w:tcW w:type="dxa" w:w="2880"/>
          </w:tcPr>
          <w:p>
            <w:r>
              <w:rPr>
                <w:b/>
                <w:sz w:val="17"/>
              </w:rPr>
            </w:r>
            <w:r>
              <w:rPr>
                <w:b/>
                <w:sz w:val="17"/>
              </w:rPr>
              <w:t>الحصة</w:t>
            </w:r>
          </w:p>
        </w:tc>
      </w:tr>
      <w:tr>
        <w:tc>
          <w:tcPr>
            <w:tcW w:type="dxa" w:w="2880"/>
          </w:tcPr>
          <w:p>
            <w:r>
              <w:rPr>
                <w:sz w:val="17"/>
              </w:rPr>
            </w:r>
            <w:r>
              <w:rPr>
                <w:sz w:val="17"/>
              </w:rPr>
              <w:t>النفقات الرأسمالية (المنصة، مراكز البيانات، الرخص)</w:t>
            </w:r>
          </w:p>
        </w:tc>
        <w:tc>
          <w:tcPr>
            <w:tcW w:type="dxa" w:w="2880"/>
          </w:tcPr>
          <w:p>
            <w:r>
              <w:rPr>
                <w:sz w:val="17"/>
              </w:rPr>
            </w:r>
            <w:r>
              <w:rPr>
                <w:sz w:val="17"/>
              </w:rPr>
              <w:t>720</w:t>
            </w:r>
          </w:p>
        </w:tc>
        <w:tc>
          <w:tcPr>
            <w:tcW w:type="dxa" w:w="2880"/>
          </w:tcPr>
          <w:p>
            <w:r>
              <w:rPr>
                <w:sz w:val="17"/>
              </w:rPr>
            </w:r>
            <w:r>
              <w:rPr>
                <w:sz w:val="17"/>
              </w:rPr>
              <w:t>40.0 %</w:t>
            </w:r>
          </w:p>
        </w:tc>
      </w:tr>
      <w:tr>
        <w:tc>
          <w:tcPr>
            <w:tcW w:type="dxa" w:w="2880"/>
          </w:tcPr>
          <w:p>
            <w:r>
              <w:rPr>
                <w:sz w:val="17"/>
              </w:rPr>
            </w:r>
            <w:r>
              <w:rPr>
                <w:sz w:val="17"/>
              </w:rPr>
              <w:t>العجز التشغيلي 2027–2028 (المصروفات ناقص الإيراد)</w:t>
            </w:r>
          </w:p>
        </w:tc>
        <w:tc>
          <w:tcPr>
            <w:tcW w:type="dxa" w:w="2880"/>
          </w:tcPr>
          <w:p>
            <w:r>
              <w:rPr>
                <w:sz w:val="17"/>
              </w:rPr>
            </w:r>
            <w:r>
              <w:rPr>
                <w:sz w:val="17"/>
              </w:rPr>
              <w:t>915</w:t>
            </w:r>
          </w:p>
        </w:tc>
        <w:tc>
          <w:tcPr>
            <w:tcW w:type="dxa" w:w="2880"/>
          </w:tcPr>
          <w:p>
            <w:r>
              <w:rPr>
                <w:sz w:val="17"/>
              </w:rPr>
            </w:r>
            <w:r>
              <w:rPr>
                <w:sz w:val="17"/>
              </w:rPr>
              <w:t>50.8 %</w:t>
            </w:r>
          </w:p>
        </w:tc>
      </w:tr>
      <w:tr>
        <w:tc>
          <w:tcPr>
            <w:tcW w:type="dxa" w:w="2880"/>
          </w:tcPr>
          <w:p>
            <w:r>
              <w:rPr>
                <w:sz w:val="17"/>
              </w:rPr>
            </w:r>
            <w:r>
              <w:rPr>
                <w:sz w:val="17"/>
              </w:rPr>
              <w:t>وسادة السيولة</w:t>
            </w:r>
          </w:p>
        </w:tc>
        <w:tc>
          <w:tcPr>
            <w:tcW w:type="dxa" w:w="2880"/>
          </w:tcPr>
          <w:p>
            <w:r>
              <w:rPr>
                <w:sz w:val="17"/>
              </w:rPr>
            </w:r>
            <w:r>
              <w:rPr>
                <w:sz w:val="17"/>
              </w:rPr>
              <w:t>70</w:t>
            </w:r>
          </w:p>
        </w:tc>
        <w:tc>
          <w:tcPr>
            <w:tcW w:type="dxa" w:w="2880"/>
          </w:tcPr>
          <w:p>
            <w:r>
              <w:rPr>
                <w:sz w:val="17"/>
              </w:rPr>
            </w:r>
            <w:r>
              <w:rPr>
                <w:sz w:val="17"/>
              </w:rPr>
              <w:t>6 %</w:t>
            </w:r>
          </w:p>
        </w:tc>
      </w:tr>
      <w:tr>
        <w:tc>
          <w:tcPr>
            <w:tcW w:type="dxa" w:w="2880"/>
          </w:tcPr>
          <w:p>
            <w:r>
              <w:rPr>
                <w:sz w:val="17"/>
              </w:rPr>
            </w:r>
            <w:r>
              <w:rPr>
                <w:b/>
                <w:sz w:val="17"/>
              </w:rPr>
              <w:t>المجموع</w:t>
            </w:r>
          </w:p>
        </w:tc>
        <w:tc>
          <w:tcPr>
            <w:tcW w:type="dxa" w:w="2880"/>
          </w:tcPr>
          <w:p>
            <w:r>
              <w:rPr>
                <w:sz w:val="17"/>
              </w:rPr>
            </w:r>
            <w:r>
              <w:rPr>
                <w:b/>
                <w:sz w:val="17"/>
              </w:rPr>
              <w:t>1 300</w:t>
            </w:r>
          </w:p>
        </w:tc>
        <w:tc>
          <w:tcPr>
            <w:tcW w:type="dxa" w:w="2880"/>
          </w:tcPr>
          <w:p>
            <w:r>
              <w:rPr>
                <w:sz w:val="17"/>
              </w:rPr>
            </w:r>
            <w:r>
              <w:rPr>
                <w:b/>
                <w:sz w:val="17"/>
              </w:rPr>
              <w:t>100 %</w:t>
            </w:r>
          </w:p>
        </w:tc>
      </w:tr>
    </w:tbl>
    <w:p/>
    <w:p>
      <w:pPr>
        <w:jc w:val="both"/>
      </w:pPr>
      <w:r>
        <w:t>هيكل المصادر: equity من مستثمر استراتيجي و/أو مؤسسة تنمية حكومية — 70–100 %؛ تمويل بالدَّين — 0–30 % (بعد تأكيد الوضع التنظيمي).</w:t>
      </w:r>
    </w:p>
    <w:p>
      <w:pPr>
        <w:pStyle w:val="Heading3"/>
      </w:pPr>
      <w:r>
        <w:t>9.4. استراتيجية الخروج للمستثمرين</w:t>
      </w:r>
    </w:p>
    <w:p>
      <w:pPr>
        <w:jc w:val="both"/>
      </w:pPr>
      <w:r>
        <w:t>خيارات على أفق 5–10 سنوات: (1) IPO — إدراج في بورصة موسكو بعد بلوغ ربحية مستدامة (بدءًا من 2030–2031 احتمالًا). (2) بيع استراتيجي — استحواذ المجموعة المالية الكبرى أو مؤسسة حكومية على الحصة. (3) Buy-back — إعادة شراء حصة المستثمر من تدفّق الأرباح. (4) استراتيجية أرباح — صرف 30–50 % من صافي الربح من 2028، احتفاظ مفتوح بالأسهم (للمستثمرين الاستراتيجيين).</w:t>
      </w:r>
    </w:p>
    <w:p>
      <w:pPr>
        <w:pStyle w:val="Heading2"/>
      </w:pPr>
      <w:r>
        <w:t>10. تحليل المخاطر</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الفئة</w:t>
            </w:r>
          </w:p>
        </w:tc>
        <w:tc>
          <w:tcPr>
            <w:tcW w:type="dxa" w:w="1728"/>
          </w:tcPr>
          <w:p>
            <w:r>
              <w:rPr>
                <w:b/>
                <w:sz w:val="17"/>
              </w:rPr>
            </w:r>
            <w:r>
              <w:rPr>
                <w:b/>
                <w:sz w:val="17"/>
              </w:rPr>
              <w:t>الوصف</w:t>
            </w:r>
          </w:p>
        </w:tc>
        <w:tc>
          <w:tcPr>
            <w:tcW w:type="dxa" w:w="1728"/>
          </w:tcPr>
          <w:p>
            <w:r>
              <w:rPr>
                <w:b/>
                <w:sz w:val="17"/>
              </w:rPr>
            </w:r>
            <w:r>
              <w:rPr>
                <w:b/>
                <w:sz w:val="17"/>
              </w:rPr>
              <w:t>الاحتمال</w:t>
            </w:r>
          </w:p>
        </w:tc>
        <w:tc>
          <w:tcPr>
            <w:tcW w:type="dxa" w:w="1728"/>
          </w:tcPr>
          <w:p>
            <w:r>
              <w:rPr>
                <w:b/>
                <w:sz w:val="17"/>
              </w:rPr>
            </w:r>
            <w:r>
              <w:rPr>
                <w:b/>
                <w:sz w:val="17"/>
              </w:rPr>
              <w:t>الأثر</w:t>
            </w:r>
          </w:p>
        </w:tc>
        <w:tc>
          <w:tcPr>
            <w:tcW w:type="dxa" w:w="1728"/>
          </w:tcPr>
          <w:p>
            <w:r>
              <w:rPr>
                <w:b/>
                <w:sz w:val="17"/>
              </w:rPr>
            </w:r>
            <w:r>
              <w:rPr>
                <w:b/>
                <w:sz w:val="17"/>
              </w:rPr>
              <w:t>التخفيف</w:t>
            </w:r>
          </w:p>
        </w:tc>
      </w:tr>
      <w:tr>
        <w:tc>
          <w:tcPr>
            <w:tcW w:type="dxa" w:w="1728"/>
          </w:tcPr>
          <w:p>
            <w:r>
              <w:rPr>
                <w:sz w:val="17"/>
              </w:rPr>
            </w:r>
            <w:r>
              <w:rPr>
                <w:b/>
                <w:sz w:val="17"/>
              </w:rPr>
              <w:t>قانوني المرحلة 1</w:t>
            </w:r>
          </w:p>
        </w:tc>
        <w:tc>
          <w:tcPr>
            <w:tcW w:type="dxa" w:w="1728"/>
          </w:tcPr>
          <w:p>
            <w:r>
              <w:rPr>
                <w:sz w:val="17"/>
              </w:rPr>
            </w:r>
            <w:r>
              <w:rPr>
                <w:sz w:val="17"/>
              </w:rPr>
              <w:t>عقبات في الموافقة على قواعد المشغّل (المادة 6 من 259-FZ) أو معايير توجيه بنك روسيا 4336-U</w:t>
            </w:r>
          </w:p>
        </w:tc>
        <w:tc>
          <w:tcPr>
            <w:tcW w:type="dxa" w:w="1728"/>
          </w:tcPr>
          <w:p>
            <w:r>
              <w:rPr>
                <w:sz w:val="17"/>
              </w:rPr>
            </w:r>
            <w:r>
              <w:rPr>
                <w:sz w:val="17"/>
              </w:rPr>
              <w:t>منخفض</w:t>
            </w:r>
          </w:p>
        </w:tc>
        <w:tc>
          <w:tcPr>
            <w:tcW w:type="dxa" w:w="1728"/>
          </w:tcPr>
          <w:p>
            <w:r>
              <w:rPr>
                <w:sz w:val="17"/>
              </w:rPr>
            </w:r>
            <w:r>
              <w:rPr>
                <w:sz w:val="17"/>
              </w:rPr>
              <w:t>جوهري</w:t>
            </w:r>
          </w:p>
        </w:tc>
        <w:tc>
          <w:tcPr>
            <w:tcW w:type="dxa" w:w="1728"/>
          </w:tcPr>
          <w:p>
            <w:r>
              <w:rPr>
                <w:sz w:val="17"/>
              </w:rPr>
            </w:r>
            <w:r>
              <w:rPr>
                <w:sz w:val="17"/>
              </w:rPr>
              <w:t>شراكة تقنية مع مشغّل قائم 779-P: الترخيص غير قابل للنقل، تعمل CPFSR كـ front-end / وكيل. الموافقات مع بنك روسيا تخصّ قواعد نظام معلومات الشريك فحسب، لا قائمة الترخيص</w:t>
            </w:r>
          </w:p>
        </w:tc>
      </w:tr>
      <w:tr>
        <w:tc>
          <w:tcPr>
            <w:tcW w:type="dxa" w:w="1728"/>
          </w:tcPr>
          <w:p>
            <w:r>
              <w:rPr>
                <w:sz w:val="17"/>
              </w:rPr>
            </w:r>
            <w:r>
              <w:rPr>
                <w:b/>
                <w:sz w:val="17"/>
              </w:rPr>
              <w:t>قانوني المرحلة 2</w:t>
            </w:r>
          </w:p>
        </w:tc>
        <w:tc>
          <w:tcPr>
            <w:tcW w:type="dxa" w:w="1728"/>
          </w:tcPr>
          <w:p>
            <w:r>
              <w:rPr>
                <w:sz w:val="17"/>
              </w:rPr>
            </w:r>
            <w:r>
              <w:rPr>
                <w:sz w:val="17"/>
              </w:rPr>
              <w:t>عدم إقرار حزمة 4 تعديلات على أفق 2029+</w:t>
            </w:r>
          </w:p>
        </w:tc>
        <w:tc>
          <w:tcPr>
            <w:tcW w:type="dxa" w:w="1728"/>
          </w:tcPr>
          <w:p>
            <w:r>
              <w:rPr>
                <w:sz w:val="17"/>
              </w:rPr>
            </w:r>
            <w:r>
              <w:rPr>
                <w:sz w:val="17"/>
              </w:rPr>
              <w:t>متوسط</w:t>
            </w:r>
          </w:p>
        </w:tc>
        <w:tc>
          <w:tcPr>
            <w:tcW w:type="dxa" w:w="1728"/>
          </w:tcPr>
          <w:p>
            <w:r>
              <w:rPr>
                <w:sz w:val="17"/>
              </w:rPr>
            </w:r>
            <w:r>
              <w:rPr>
                <w:sz w:val="17"/>
              </w:rPr>
              <w:t>جوهري (للمرحلة 2 فقط)</w:t>
            </w:r>
          </w:p>
        </w:tc>
        <w:tc>
          <w:tcPr>
            <w:tcW w:type="dxa" w:w="1728"/>
          </w:tcPr>
          <w:p>
            <w:r>
              <w:rPr>
                <w:sz w:val="17"/>
              </w:rPr>
            </w:r>
            <w:r>
              <w:rPr>
                <w:sz w:val="17"/>
              </w:rPr>
              <w:t>المرحلة 2 خارج خريطة الطريق الاستثمارية القريبة؛ تُنفَّذ بعد سجل ≥ 12 شهرًا وموقف بين الإدارات. المرحلة 1 قابلة للدفاع دون المرحلة 2</w:t>
            </w:r>
          </w:p>
        </w:tc>
      </w:tr>
      <w:tr>
        <w:tc>
          <w:tcPr>
            <w:tcW w:type="dxa" w:w="1728"/>
          </w:tcPr>
          <w:p>
            <w:r>
              <w:rPr>
                <w:sz w:val="17"/>
              </w:rPr>
            </w:r>
            <w:r>
              <w:rPr>
                <w:b/>
                <w:sz w:val="17"/>
              </w:rPr>
              <w:t>تنظيمي</w:t>
            </w:r>
          </w:p>
        </w:tc>
        <w:tc>
          <w:tcPr>
            <w:tcW w:type="dxa" w:w="1728"/>
          </w:tcPr>
          <w:p>
            <w:r>
              <w:rPr>
                <w:sz w:val="17"/>
              </w:rPr>
            </w:r>
            <w:r>
              <w:rPr>
                <w:sz w:val="17"/>
              </w:rPr>
              <w:t>عقبات إدراج الشريك التقني في سجل 779-P أو تعليق ترخيصه</w:t>
            </w:r>
          </w:p>
        </w:tc>
        <w:tc>
          <w:tcPr>
            <w:tcW w:type="dxa" w:w="1728"/>
          </w:tcPr>
          <w:p>
            <w:r>
              <w:rPr>
                <w:sz w:val="17"/>
              </w:rPr>
            </w:r>
            <w:r>
              <w:rPr>
                <w:sz w:val="17"/>
              </w:rPr>
              <w:t>منخفض</w:t>
            </w:r>
          </w:p>
        </w:tc>
        <w:tc>
          <w:tcPr>
            <w:tcW w:type="dxa" w:w="1728"/>
          </w:tcPr>
          <w:p>
            <w:r>
              <w:rPr>
                <w:sz w:val="17"/>
              </w:rPr>
            </w:r>
            <w:r>
              <w:rPr>
                <w:sz w:val="17"/>
              </w:rPr>
              <w:t>جوهري</w:t>
            </w:r>
          </w:p>
        </w:tc>
        <w:tc>
          <w:tcPr>
            <w:tcW w:type="dxa" w:w="1728"/>
          </w:tcPr>
          <w:p>
            <w:r>
              <w:rPr>
                <w:sz w:val="17"/>
              </w:rPr>
            </w:r>
            <w:r>
              <w:rPr>
                <w:sz w:val="17"/>
              </w:rPr>
              <w:t>pool متعدّد للشركاء المحتملين (Atomyze، Sber CFA، Alfa CFA، Masterchain)؛ تقديم طلبنا الخاص إلى سجل 779-P كمسار موازٍ بعد T+12 شهرًا</w:t>
            </w:r>
          </w:p>
        </w:tc>
      </w:tr>
      <w:tr>
        <w:tc>
          <w:tcPr>
            <w:tcW w:type="dxa" w:w="1728"/>
          </w:tcPr>
          <w:p>
            <w:r>
              <w:rPr>
                <w:sz w:val="17"/>
              </w:rPr>
            </w:r>
            <w:r>
              <w:rPr>
                <w:b/>
                <w:sz w:val="17"/>
              </w:rPr>
              <w:t>سوقي</w:t>
            </w:r>
          </w:p>
        </w:tc>
        <w:tc>
          <w:tcPr>
            <w:tcW w:type="dxa" w:w="1728"/>
          </w:tcPr>
          <w:p>
            <w:r>
              <w:rPr>
                <w:sz w:val="17"/>
              </w:rPr>
            </w:r>
            <w:r>
              <w:rPr>
                <w:sz w:val="17"/>
              </w:rPr>
              <w:t>اختراق منخفض — المالكون لا يثقون بالأداة الجديدة</w:t>
            </w:r>
          </w:p>
        </w:tc>
        <w:tc>
          <w:tcPr>
            <w:tcW w:type="dxa" w:w="1728"/>
          </w:tcPr>
          <w:p>
            <w:r>
              <w:rPr>
                <w:sz w:val="17"/>
              </w:rPr>
            </w:r>
            <w:r>
              <w:rPr>
                <w:sz w:val="17"/>
              </w:rPr>
              <w:t>متوسط</w:t>
            </w:r>
          </w:p>
        </w:tc>
        <w:tc>
          <w:tcPr>
            <w:tcW w:type="dxa" w:w="1728"/>
          </w:tcPr>
          <w:p>
            <w:r>
              <w:rPr>
                <w:sz w:val="17"/>
              </w:rPr>
            </w:r>
            <w:r>
              <w:rPr>
                <w:sz w:val="17"/>
              </w:rPr>
              <w:t>جوهري</w:t>
            </w:r>
          </w:p>
        </w:tc>
        <w:tc>
          <w:tcPr>
            <w:tcW w:type="dxa" w:w="1728"/>
          </w:tcPr>
          <w:p>
            <w:r>
              <w:rPr>
                <w:sz w:val="17"/>
              </w:rPr>
            </w:r>
            <w:r>
              <w:rPr>
                <w:sz w:val="17"/>
              </w:rPr>
              <w:t>البدء ببرامج حكومية ومالكين كبار (B2B/B2G) لتشكيل حالات مرجعية؛ حملة تثقيفية واسعة؛ التكامل في تطبيقات البنوك لخفض عتبة الدخول</w:t>
            </w:r>
          </w:p>
        </w:tc>
      </w:tr>
      <w:tr>
        <w:tc>
          <w:tcPr>
            <w:tcW w:type="dxa" w:w="1728"/>
          </w:tcPr>
          <w:p>
            <w:r>
              <w:rPr>
                <w:sz w:val="17"/>
              </w:rPr>
            </w:r>
            <w:r>
              <w:rPr>
                <w:b/>
                <w:sz w:val="17"/>
              </w:rPr>
              <w:t>تقني</w:t>
            </w:r>
          </w:p>
        </w:tc>
        <w:tc>
          <w:tcPr>
            <w:tcW w:type="dxa" w:w="1728"/>
          </w:tcPr>
          <w:p>
            <w:r>
              <w:rPr>
                <w:sz w:val="17"/>
              </w:rPr>
            </w:r>
            <w:r>
              <w:rPr>
                <w:sz w:val="17"/>
              </w:rPr>
              <w:t>عطل في المنصة، فقد بيانات، هجوم سيبراني</w:t>
            </w:r>
          </w:p>
        </w:tc>
        <w:tc>
          <w:tcPr>
            <w:tcW w:type="dxa" w:w="1728"/>
          </w:tcPr>
          <w:p>
            <w:r>
              <w:rPr>
                <w:sz w:val="17"/>
              </w:rPr>
            </w:r>
            <w:r>
              <w:rPr>
                <w:sz w:val="17"/>
              </w:rPr>
              <w:t>منخفض</w:t>
            </w:r>
          </w:p>
        </w:tc>
        <w:tc>
          <w:tcPr>
            <w:tcW w:type="dxa" w:w="1728"/>
          </w:tcPr>
          <w:p>
            <w:r>
              <w:rPr>
                <w:sz w:val="17"/>
              </w:rPr>
            </w:r>
            <w:r>
              <w:rPr>
                <w:sz w:val="17"/>
              </w:rPr>
              <w:t>جوهري</w:t>
            </w:r>
          </w:p>
        </w:tc>
        <w:tc>
          <w:tcPr>
            <w:tcW w:type="dxa" w:w="1728"/>
          </w:tcPr>
          <w:p>
            <w:r>
              <w:rPr>
                <w:sz w:val="17"/>
              </w:rPr>
            </w:r>
            <w:r>
              <w:rPr>
                <w:sz w:val="17"/>
              </w:rPr>
              <w:t>مركزا بيانات نشطان مع تكرار جغرافي؛ نسخ احتياطي يومي مع اختبار الاستعادة؛ وحدات تشفير معتمدة من FSB؛ pentest مستمر؛ SOC على مدار الساعة</w:t>
            </w:r>
          </w:p>
        </w:tc>
      </w:tr>
      <w:tr>
        <w:tc>
          <w:tcPr>
            <w:tcW w:type="dxa" w:w="1728"/>
          </w:tcPr>
          <w:p>
            <w:r>
              <w:rPr>
                <w:sz w:val="17"/>
              </w:rPr>
            </w:r>
            <w:r>
              <w:rPr>
                <w:b/>
                <w:sz w:val="17"/>
              </w:rPr>
              <w:t>تشغيلي</w:t>
            </w:r>
          </w:p>
        </w:tc>
        <w:tc>
          <w:tcPr>
            <w:tcW w:type="dxa" w:w="1728"/>
          </w:tcPr>
          <w:p>
            <w:r>
              <w:rPr>
                <w:sz w:val="17"/>
              </w:rPr>
            </w:r>
            <w:r>
              <w:rPr>
                <w:sz w:val="17"/>
              </w:rPr>
              <w:t>أخطاء تقييم الضمان، نزاعات مع المالكين</w:t>
            </w:r>
          </w:p>
        </w:tc>
        <w:tc>
          <w:tcPr>
            <w:tcW w:type="dxa" w:w="1728"/>
          </w:tcPr>
          <w:p>
            <w:r>
              <w:rPr>
                <w:sz w:val="17"/>
              </w:rPr>
            </w:r>
            <w:r>
              <w:rPr>
                <w:sz w:val="17"/>
              </w:rPr>
              <w:t>متوسط</w:t>
            </w:r>
          </w:p>
        </w:tc>
        <w:tc>
          <w:tcPr>
            <w:tcW w:type="dxa" w:w="1728"/>
          </w:tcPr>
          <w:p>
            <w:r>
              <w:rPr>
                <w:sz w:val="17"/>
              </w:rPr>
            </w:r>
            <w:r>
              <w:rPr>
                <w:sz w:val="17"/>
              </w:rPr>
              <w:t>معتدل</w:t>
            </w:r>
          </w:p>
        </w:tc>
        <w:tc>
          <w:tcPr>
            <w:tcW w:type="dxa" w:w="1728"/>
          </w:tcPr>
          <w:p>
            <w:r>
              <w:rPr>
                <w:sz w:val="17"/>
              </w:rPr>
            </w:r>
            <w:r>
              <w:rPr>
                <w:sz w:val="17"/>
              </w:rPr>
              <w:t>تقييم متعدّد المستويات (جماعي + مكتبي + مقيّم مستقل)، تأمين المسؤولية، لوائح شفّافة، تحكيم قبل القضاء</w:t>
            </w:r>
          </w:p>
        </w:tc>
      </w:tr>
      <w:tr>
        <w:tc>
          <w:tcPr>
            <w:tcW w:type="dxa" w:w="1728"/>
          </w:tcPr>
          <w:p>
            <w:r>
              <w:rPr>
                <w:sz w:val="17"/>
              </w:rPr>
            </w:r>
            <w:r>
              <w:rPr>
                <w:b/>
                <w:sz w:val="17"/>
              </w:rPr>
              <w:t>سمعة</w:t>
            </w:r>
          </w:p>
        </w:tc>
        <w:tc>
          <w:tcPr>
            <w:tcW w:type="dxa" w:w="1728"/>
          </w:tcPr>
          <w:p>
            <w:r>
              <w:rPr>
                <w:sz w:val="17"/>
              </w:rPr>
            </w:r>
            <w:r>
              <w:rPr>
                <w:sz w:val="17"/>
              </w:rPr>
              <w:t>حادث صاخب (فقد أموال عميل، فضيحة فساد)</w:t>
            </w:r>
          </w:p>
        </w:tc>
        <w:tc>
          <w:tcPr>
            <w:tcW w:type="dxa" w:w="1728"/>
          </w:tcPr>
          <w:p>
            <w:r>
              <w:rPr>
                <w:sz w:val="17"/>
              </w:rPr>
            </w:r>
            <w:r>
              <w:rPr>
                <w:sz w:val="17"/>
              </w:rPr>
              <w:t>منخفض</w:t>
            </w:r>
          </w:p>
        </w:tc>
        <w:tc>
          <w:tcPr>
            <w:tcW w:type="dxa" w:w="1728"/>
          </w:tcPr>
          <w:p>
            <w:r>
              <w:rPr>
                <w:sz w:val="17"/>
              </w:rPr>
            </w:r>
            <w:r>
              <w:rPr>
                <w:sz w:val="17"/>
              </w:rPr>
              <w:t>حرج</w:t>
            </w:r>
          </w:p>
        </w:tc>
        <w:tc>
          <w:tcPr>
            <w:tcW w:type="dxa" w:w="1728"/>
          </w:tcPr>
          <w:p>
            <w:r>
              <w:rPr>
                <w:sz w:val="17"/>
              </w:rPr>
            </w:r>
            <w:r>
              <w:rPr>
                <w:sz w:val="17"/>
              </w:rPr>
              <w:t>إجراءات امتثال صارمة، سياسة مكافحة الفساد، إبلاغ شفّاف، تدقيق خارجي منتظم، استراتيجية PR للأزمات</w:t>
            </w:r>
          </w:p>
        </w:tc>
      </w:tr>
      <w:tr>
        <w:tc>
          <w:tcPr>
            <w:tcW w:type="dxa" w:w="1728"/>
          </w:tcPr>
          <w:p>
            <w:r>
              <w:rPr>
                <w:sz w:val="17"/>
              </w:rPr>
            </w:r>
            <w:r>
              <w:rPr>
                <w:b/>
                <w:sz w:val="17"/>
              </w:rPr>
              <w:t>اقتصاد كلّي</w:t>
            </w:r>
          </w:p>
        </w:tc>
        <w:tc>
          <w:tcPr>
            <w:tcW w:type="dxa" w:w="1728"/>
          </w:tcPr>
          <w:p>
            <w:r>
              <w:rPr>
                <w:sz w:val="17"/>
              </w:rPr>
            </w:r>
            <w:r>
              <w:rPr>
                <w:sz w:val="17"/>
              </w:rPr>
              <w:t>ارتفاع حاد في السعر الأساسي، انهيار سوق العقارات</w:t>
            </w:r>
          </w:p>
        </w:tc>
        <w:tc>
          <w:tcPr>
            <w:tcW w:type="dxa" w:w="1728"/>
          </w:tcPr>
          <w:p>
            <w:r>
              <w:rPr>
                <w:sz w:val="17"/>
              </w:rPr>
            </w:r>
            <w:r>
              <w:rPr>
                <w:sz w:val="17"/>
              </w:rPr>
              <w:t>متوسط</w:t>
            </w:r>
          </w:p>
        </w:tc>
        <w:tc>
          <w:tcPr>
            <w:tcW w:type="dxa" w:w="1728"/>
          </w:tcPr>
          <w:p>
            <w:r>
              <w:rPr>
                <w:sz w:val="17"/>
              </w:rPr>
            </w:r>
            <w:r>
              <w:rPr>
                <w:sz w:val="17"/>
              </w:rPr>
              <w:t>جوهري</w:t>
            </w:r>
          </w:p>
        </w:tc>
        <w:tc>
          <w:tcPr>
            <w:tcW w:type="dxa" w:w="1728"/>
          </w:tcPr>
          <w:p>
            <w:r>
              <w:rPr>
                <w:sz w:val="17"/>
              </w:rPr>
            </w:r>
            <w:r>
              <w:rPr>
                <w:sz w:val="17"/>
              </w:rPr>
              <w:t>نموذج تسعير مرن (مرتبط بالسعر الأساسي)، معايير LTV محافظة (50 % أساسي، حتى 70 % كحدّ أقصى)، اختبارات إجهاد فصلية</w:t>
            </w:r>
          </w:p>
        </w:tc>
      </w:tr>
      <w:tr>
        <w:tc>
          <w:tcPr>
            <w:tcW w:type="dxa" w:w="1728"/>
          </w:tcPr>
          <w:p>
            <w:r>
              <w:rPr>
                <w:sz w:val="17"/>
              </w:rPr>
            </w:r>
            <w:r>
              <w:rPr>
                <w:b/>
                <w:sz w:val="17"/>
              </w:rPr>
              <w:t>تنافسي</w:t>
            </w:r>
          </w:p>
        </w:tc>
        <w:tc>
          <w:tcPr>
            <w:tcW w:type="dxa" w:w="1728"/>
          </w:tcPr>
          <w:p>
            <w:r>
              <w:rPr>
                <w:sz w:val="17"/>
              </w:rPr>
            </w:r>
            <w:r>
              <w:rPr>
                <w:sz w:val="17"/>
              </w:rPr>
              <w:t>ظهور مشغّل ثانٍ في الفئة نفسها</w:t>
            </w:r>
          </w:p>
        </w:tc>
        <w:tc>
          <w:tcPr>
            <w:tcW w:type="dxa" w:w="1728"/>
          </w:tcPr>
          <w:p>
            <w:r>
              <w:rPr>
                <w:sz w:val="17"/>
              </w:rPr>
            </w:r>
            <w:r>
              <w:rPr>
                <w:sz w:val="17"/>
              </w:rPr>
              <w:t>منخفض (حتى 5 سنوات)، متوسط (بعدها)</w:t>
            </w:r>
          </w:p>
        </w:tc>
        <w:tc>
          <w:tcPr>
            <w:tcW w:type="dxa" w:w="1728"/>
          </w:tcPr>
          <w:p>
            <w:r>
              <w:rPr>
                <w:sz w:val="17"/>
              </w:rPr>
            </w:r>
            <w:r>
              <w:rPr>
                <w:sz w:val="17"/>
              </w:rPr>
              <w:t>معتدل</w:t>
            </w:r>
          </w:p>
        </w:tc>
        <w:tc>
          <w:tcPr>
            <w:tcW w:type="dxa" w:w="1728"/>
          </w:tcPr>
          <w:p>
            <w:r>
              <w:rPr>
                <w:sz w:val="17"/>
              </w:rPr>
            </w:r>
            <w:r>
              <w:rPr>
                <w:sz w:val="17"/>
              </w:rPr>
              <w:t>تكامل عميق مع الجهة التنظيمية والشركاء كـ moat طبيعي؛ توسّع سريع في 3–5 سنوات الأولى؛ حماية المعرفة الفنية</w:t>
            </w:r>
          </w:p>
        </w:tc>
      </w:tr>
      <w:tr>
        <w:tc>
          <w:tcPr>
            <w:tcW w:type="dxa" w:w="1728"/>
          </w:tcPr>
          <w:p>
            <w:r>
              <w:rPr>
                <w:sz w:val="17"/>
              </w:rPr>
            </w:r>
            <w:r>
              <w:rPr>
                <w:b/>
                <w:sz w:val="17"/>
              </w:rPr>
              <w:t>بشري</w:t>
            </w:r>
          </w:p>
        </w:tc>
        <w:tc>
          <w:tcPr>
            <w:tcW w:type="dxa" w:w="1728"/>
          </w:tcPr>
          <w:p>
            <w:r>
              <w:rPr>
                <w:sz w:val="17"/>
              </w:rPr>
            </w:r>
            <w:r>
              <w:rPr>
                <w:sz w:val="17"/>
              </w:rPr>
              <w:t>نقص في كوادر الفينتك المؤهَّلة</w:t>
            </w:r>
          </w:p>
        </w:tc>
        <w:tc>
          <w:tcPr>
            <w:tcW w:type="dxa" w:w="1728"/>
          </w:tcPr>
          <w:p>
            <w:r>
              <w:rPr>
                <w:sz w:val="17"/>
              </w:rPr>
            </w:r>
            <w:r>
              <w:rPr>
                <w:sz w:val="17"/>
              </w:rPr>
              <w:t>متوسط</w:t>
            </w:r>
          </w:p>
        </w:tc>
        <w:tc>
          <w:tcPr>
            <w:tcW w:type="dxa" w:w="1728"/>
          </w:tcPr>
          <w:p>
            <w:r>
              <w:rPr>
                <w:sz w:val="17"/>
              </w:rPr>
            </w:r>
            <w:r>
              <w:rPr>
                <w:sz w:val="17"/>
              </w:rPr>
              <w:t>معتدل</w:t>
            </w:r>
          </w:p>
        </w:tc>
        <w:tc>
          <w:tcPr>
            <w:tcW w:type="dxa" w:w="1728"/>
          </w:tcPr>
          <w:p>
            <w:r>
              <w:rPr>
                <w:sz w:val="17"/>
              </w:rPr>
            </w:r>
            <w:r>
              <w:rPr>
                <w:sz w:val="17"/>
              </w:rPr>
              <w:t>برنامج خيارات، تعويض تنافسي، برنامج R&amp;D مع الجامعات الرائدة، عمل عن بُعد مع الأقاليم</w:t>
            </w:r>
          </w:p>
        </w:tc>
      </w:tr>
      <w:tr>
        <w:tc>
          <w:tcPr>
            <w:tcW w:type="dxa" w:w="1728"/>
          </w:tcPr>
          <w:p>
            <w:r>
              <w:rPr>
                <w:sz w:val="17"/>
              </w:rPr>
            </w:r>
            <w:r>
              <w:rPr>
                <w:b/>
                <w:sz w:val="17"/>
              </w:rPr>
              <w:t>تنافس الروبل الرقمي (340-FZ)</w:t>
            </w:r>
          </w:p>
        </w:tc>
        <w:tc>
          <w:tcPr>
            <w:tcW w:type="dxa" w:w="1728"/>
          </w:tcPr>
          <w:p>
            <w:r>
              <w:rPr>
                <w:sz w:val="17"/>
              </w:rPr>
            </w:r>
            <w:r>
              <w:rPr>
                <w:sz w:val="17"/>
              </w:rPr>
              <w:t>يطلق بنك روسيا برنامج إصدار مستهدف للروبل الرقمي دون وسيط أو يدمج DFA المرهونة في منصّة الروبل الرقمي عبر المادة 30.6 من 86-FZ</w:t>
            </w:r>
          </w:p>
        </w:tc>
        <w:tc>
          <w:tcPr>
            <w:tcW w:type="dxa" w:w="1728"/>
          </w:tcPr>
          <w:p>
            <w:r>
              <w:rPr>
                <w:sz w:val="17"/>
              </w:rPr>
            </w:r>
            <w:r>
              <w:rPr>
                <w:sz w:val="17"/>
              </w:rPr>
              <w:t>متوسط (15–35 %)</w:t>
            </w:r>
          </w:p>
        </w:tc>
        <w:tc>
          <w:tcPr>
            <w:tcW w:type="dxa" w:w="1728"/>
          </w:tcPr>
          <w:p>
            <w:r>
              <w:rPr>
                <w:sz w:val="17"/>
              </w:rPr>
            </w:r>
            <w:r>
              <w:rPr>
                <w:sz w:val="17"/>
              </w:rPr>
              <w:t>جوهري</w:t>
            </w:r>
          </w:p>
        </w:tc>
        <w:tc>
          <w:tcPr>
            <w:tcW w:type="dxa" w:w="1728"/>
          </w:tcPr>
          <w:p>
            <w:r>
              <w:rPr>
                <w:sz w:val="17"/>
              </w:rPr>
            </w:r>
            <w:r>
              <w:rPr>
                <w:sz w:val="17"/>
              </w:rPr>
              <w:t>ثلاثة سيناريوهات تخفيف: (أ) شراكة تقنية مع بنك روسيا عبر النظام القانوني التجريبي بموجب 258-FZ؛ (ب) تموضع CPFSR كـ front-end رسمي عبر الموقف الموحَّد؛ (ج) طبقة متخصّصة لـ DFA البنى التحتية المستهدف بضمان — فئة لا تغطّيها منصة الروبل الرقمي كأداة تسوية عامّة</w:t>
            </w:r>
          </w:p>
        </w:tc>
      </w:tr>
      <w:tr>
        <w:tc>
          <w:tcPr>
            <w:tcW w:type="dxa" w:w="1728"/>
          </w:tcPr>
          <w:p>
            <w:r>
              <w:rPr>
                <w:sz w:val="17"/>
              </w:rPr>
            </w:r>
            <w:r>
              <w:rPr>
                <w:b/>
                <w:sz w:val="17"/>
              </w:rPr>
              <w:t>نسخ من قِبَل المنظِّم</w:t>
            </w:r>
          </w:p>
        </w:tc>
        <w:tc>
          <w:tcPr>
            <w:tcW w:type="dxa" w:w="1728"/>
          </w:tcPr>
          <w:p>
            <w:r>
              <w:rPr>
                <w:sz w:val="17"/>
              </w:rPr>
            </w:r>
            <w:r>
              <w:rPr>
                <w:sz w:val="17"/>
              </w:rPr>
              <w:t>تنفّذ الدولة المنطق نفسه عبر Atomyze / VEB.RF / Sber مباشرة، دون CPFSR</w:t>
            </w:r>
          </w:p>
        </w:tc>
        <w:tc>
          <w:tcPr>
            <w:tcW w:type="dxa" w:w="1728"/>
          </w:tcPr>
          <w:p>
            <w:r>
              <w:rPr>
                <w:sz w:val="17"/>
              </w:rPr>
            </w:r>
            <w:r>
              <w:rPr>
                <w:sz w:val="17"/>
              </w:rPr>
              <w:t>منخفض–متوسط</w:t>
            </w:r>
          </w:p>
        </w:tc>
        <w:tc>
          <w:tcPr>
            <w:tcW w:type="dxa" w:w="1728"/>
          </w:tcPr>
          <w:p>
            <w:r>
              <w:rPr>
                <w:sz w:val="17"/>
              </w:rPr>
            </w:r>
            <w:r>
              <w:rPr>
                <w:sz w:val="17"/>
              </w:rPr>
              <w:t>جوهري</w:t>
            </w:r>
          </w:p>
        </w:tc>
        <w:tc>
          <w:tcPr>
            <w:tcW w:type="dxa" w:w="1728"/>
          </w:tcPr>
          <w:p>
            <w:r>
              <w:rPr>
                <w:sz w:val="17"/>
              </w:rPr>
            </w:r>
            <w:r>
              <w:rPr>
                <w:sz w:val="17"/>
              </w:rPr>
              <w:t>أربعة محيطات دفاعية: (1) آثار الشبكة — pool للراهنين + بنك شريك + مؤمِّن + مقيّم + إقليم يكوّن تأثير Metcalfe ثنائي الجانب؛ (2) محفظة الملكية الفكرية — إيداع رقم 4011265 + تسجيل البرنامج في Rospatent (المادة 1262 من القانون المدني) + المعرفة الفنية (المادة 1465 من القانون المدني) + علامة تجارية (المادة 1477 من القانون المدني) + براءة عن طريقة المَيناء (الفصل 72 من القانون المدني، طلب)؛ (3) first-mover advantage 24–30 شهرًا في فئة DFA البنى التحتية المستهدف مع تكامل FPF VEB.RF؛ (4) moat تعاقدي — LoI / MSA مع مشغّل 779-P لمدة 3 سنوات في فئة «DFA البنى التحتية المستهدف بضمان»</w:t>
            </w:r>
          </w:p>
        </w:tc>
      </w:tr>
    </w:tbl>
    <w:p/>
    <w:p>
      <w:pPr>
        <w:jc w:val="both"/>
      </w:pPr>
      <w:r>
        <w:t xml:space="preserve">تُراجع خريطة المخاطر فصليًّا. </w:t>
      </w:r>
      <w:r>
        <w:rPr>
          <w:b/>
        </w:rPr>
        <w:t>المرحلة 1 قابلة للدفاع دون تعديلات FZ.</w:t>
      </w:r>
      <w:r>
        <w:t xml:space="preserve"> المخاطرة التنظيمية الرئيسة للمرحلة 2 (إقرار حزمة 4 قوانين) مفصَّلة في وثيقة «الإطار القانوني» § 8.2.</w:t>
      </w:r>
    </w:p>
    <w:p>
      <w:pPr>
        <w:pStyle w:val="Heading2"/>
      </w:pPr>
      <w:r>
        <w:t>11. الفريق</w:t>
      </w:r>
    </w:p>
    <w:p>
      <w:pPr>
        <w:pStyle w:val="Heading3"/>
      </w:pPr>
      <w:r>
        <w:t>11.1. مؤلف المفهوم وبادئ المشروع</w:t>
      </w:r>
    </w:p>
    <w:p>
      <w:pPr>
        <w:jc w:val="both"/>
      </w:pPr>
      <w:r>
        <w:rPr>
          <w:b/>
        </w:rPr>
        <w:t>عبد الحكيم أحمدوفيتش كاغيروف</w:t>
      </w:r>
      <w:r>
        <w:t xml:space="preserve"> — مؤلف وصاحب حقوق المعرفة الفنية لـ CPFSR (شهادة الإيداع رقم 4011265 بتاريخ 19.12.2024). طوّر المفهوم المعروض في هذه الوثيقة، وحُمي بالإجراءات المحدَّدة.</w:t>
      </w:r>
    </w:p>
    <w:p>
      <w:pPr>
        <w:pStyle w:val="Heading3"/>
      </w:pPr>
      <w:r>
        <w:t>11.2. تكوين الفريق التنفيذي</w:t>
      </w:r>
    </w:p>
    <w:p>
      <w:pPr>
        <w:jc w:val="both"/>
      </w:pPr>
      <w:r>
        <w:t>في مرحلة الانطلاق (2027) يتشكّل نواة الفريق: CEO (شريك إداري بخبرة إطلاق مشاريع فينتك للبنى التحتية)، CTO (مدير تقني بخبرة بناء منصّات مصرفية)، CCO (مسؤول امتثال بخبرة في الإدارات الإشرافية لبنك روسيا).</w:t>
      </w:r>
    </w:p>
    <w:p>
      <w:pPr>
        <w:jc w:val="both"/>
      </w:pPr>
      <w:r>
        <w:t>لا تُذكر أسماء محدَّدة: اختيار الفريق مهمّة مرحلة الانطلاق، يجري بالتوازي مع استقطاب مستثمر استراتيجي. جميع التعيينات تخضع للموافقة من الجهة التنظيمية (يضع بنك روسيا متطلبات للسمعة والمؤهّلات لمديري المشغّلين).</w:t>
      </w:r>
    </w:p>
    <w:p>
      <w:pPr>
        <w:pStyle w:val="Heading3"/>
      </w:pPr>
      <w:r>
        <w:t>11.3. حماية صاحب حقوق المعرفة الفنية</w:t>
      </w:r>
    </w:p>
    <w:p>
      <w:pPr>
        <w:jc w:val="both"/>
      </w:pPr>
      <w:r>
        <w:t xml:space="preserve">بعد إدراج المعرفة الفنية للمؤلف في رأس المال النظامي لـ JSC-المشغّل تُثبَّت الآليات الحمائية التالية (تفصيلًا في </w:t>
      </w:r>
      <w:r>
        <w:rPr>
          <w:rFonts w:ascii="Consolas" w:hAnsi="Consolas"/>
          <w:sz w:val="18"/>
        </w:rPr>
        <w:t>_Мастер/Концепт.md</w:t>
      </w:r>
      <w:r>
        <w:t xml:space="preserve"> § 1-quater):</w:t>
      </w:r>
    </w:p>
    <w:p>
      <w:pPr>
        <w:pStyle w:val="ListNumber"/>
      </w:pPr>
      <w:r>
        <w:rPr>
          <w:b/>
        </w:rPr>
        <w:t>مقعد دائم للمؤلف كاغيروف أ.أ.أ. في مجلس الإدارة</w:t>
      </w:r>
      <w:r>
        <w:t xml:space="preserve"> حتى Series B (≥ 2031)، بصرف النظر عن حجم حصة المستثمر.</w:t>
      </w:r>
    </w:p>
    <w:p>
      <w:pPr>
        <w:pStyle w:val="ListNumber"/>
      </w:pPr>
      <w:r>
        <w:rPr>
          <w:b/>
        </w:rPr>
        <w:t>تعهّدات حمائية في اتفاقية المساهمين:</w:t>
      </w:r>
      <w:r>
        <w:t xml:space="preserve"> drag-along — مع مشاركة صاحب الحقوق حصرًا؛ tag-along — حماية 100 % من خروج قسري؛ anti-dilution full ratchet حتى Series B؛ حظر التصرّف في حقوق المعرفة الفنية دون موافقة صاحب الحقوق؛ vesting المساهم المؤسسي 4 سنوات مع cliff سنة.</w:t>
      </w:r>
    </w:p>
    <w:p>
      <w:pPr>
        <w:pStyle w:val="ListNumber"/>
      </w:pPr>
      <w:r>
        <w:rPr>
          <w:b/>
        </w:rPr>
        <w:t>إعادة المعرفة الفنية</w:t>
      </w:r>
      <w:r>
        <w:t xml:space="preserve"> عند التصفية / الإفلاس / استحواذ عدائي: الحقوق الحصرية تعود للمؤلف دون قيد.</w:t>
      </w:r>
    </w:p>
    <w:p>
      <w:pPr>
        <w:pStyle w:val="ListNumber"/>
      </w:pPr>
      <w:r>
        <w:rPr>
          <w:b/>
        </w:rPr>
        <w:t>تدفّق إتاوة</w:t>
      </w:r>
      <w:r>
        <w:t xml:space="preserve"> — 2 % من إيرادات المشغّل لصاحب الحقوق كمرخِّص (إلى جانب توزيعات الأسهم).</w:t>
      </w:r>
    </w:p>
    <w:p>
      <w:pPr>
        <w:pStyle w:val="Heading3"/>
      </w:pPr>
      <w:r>
        <w:t>11.4. هامش EBITDA: bridge 2030 → 2034</w:t>
      </w:r>
    </w:p>
    <w:p>
      <w:pPr>
        <w:jc w:val="both"/>
      </w:pPr>
      <w:r>
        <w:t xml:space="preserve">مسار هامش EBITDA في النموذج: 2029 = 54.6 %، 2030 = 67.5 %، 2031 = 72.3 %، 2033 = 74.1 %، 2036 = 75.1 %. ويعود النمو إلى بنية الإيرادات والمصروفات: فعمولة الخدمة تُحصَّل من الرصيد المتراكم للأصول المالية الرقمية (نحو 25.9 تريليون ₽ بحلول 2036) ولا تكاد تتطلب تكاليف خدمة إضافية، بينما تتألف مصروفات النموذج من أساس مفهرس وجزء متغير قدره 22 % من الإيراد. مراجع الشركات المماثلة: مشغّلو البنية التحتية للبورصات والإيداع 65–75 %، وأنظمة الدفع الدولية 60–70 %. الحساب — </w:t>
      </w:r>
      <w:r>
        <w:rPr>
          <w:rFonts w:ascii="Consolas" w:hAnsi="Consolas"/>
          <w:sz w:val="18"/>
        </w:rPr>
        <w:t>03_Финансовая_модель/Модель/Выгрузка/04_pnl.csv</w:t>
      </w:r>
      <w:r>
        <w:t>.</w:t>
      </w:r>
    </w:p>
    <w:p>
      <w:pPr>
        <w:pStyle w:val="Heading2"/>
      </w:pPr>
      <w:r>
        <w:t>12. الأثر الاجتماعي-الاقتصادي</w:t>
      </w:r>
    </w:p>
    <w:p>
      <w:pPr>
        <w:pStyle w:val="Heading3"/>
      </w:pPr>
      <w:r>
        <w:t>12.1. الأثر على الناتج المحلي</w:t>
      </w:r>
    </w:p>
    <w:p>
      <w:pPr>
        <w:jc w:val="both"/>
      </w:pPr>
      <w:r>
        <w:t>حجم التمويل المستقطَب عبر CPFSR في السيناريو الأساسي: 2028 — 112 مليار ₽ من الإصدار → تمويل للبنى التحتية عبر مصنع VEB.RF + الخزانة الفيدرالية (المرحلة 1) → يُعاد استثمارها في المشاريع الوطنية. 2031 — 2.78 تريليون ₽ من الإصدار السنوي. وعلى أفق المرحلة 2 — الانتقال إلى نموذج الإصدار المضمون المستهدف لبنك روسيا. 2036 — 6.93 تريليون ₽ من الإصدار السنوي.</w:t>
      </w:r>
    </w:p>
    <w:p>
      <w:pPr>
        <w:jc w:val="both"/>
      </w:pPr>
      <w:r>
        <w:t>بمضاعف استثمار بنى-تحتي 1.8–2.3 (النطاق المعياري للاقتصاد الروسي؛ تطبّق وزارة التنمية الاقتصادية 1.9–2.1 لتقييم آثار المشاريع الوطنية)، يُتوقّع إسهام في الناتج المحلي: 2029 — 5.2–6.7 تريليون ₽ من النشاط الاقتصادي الإضافي. 2034 — 12.8–16.4 تريليون ₽ من النشاط الإضافي. يقارَن ذلك بـ 5–8 % من الناتج المحلي الاسمي للاتحاد الروسي (لـ 2034).</w:t>
      </w:r>
    </w:p>
    <w:p>
      <w:pPr>
        <w:pStyle w:val="Heading3"/>
      </w:pPr>
      <w:r>
        <w:t>12.2. الأثر على المشاريع الوطنية</w:t>
      </w:r>
    </w:p>
    <w:p>
      <w:pPr>
        <w:jc w:val="both"/>
      </w:pPr>
      <w:r>
        <w:t>تكفل CPFSR التمويل المستهدف للمشاريع الوطنية دون زيادة العبء على الميزانية. تقليص قائمة الانتظار في التمويل عبر تعبئة قاعدة الضمانات الخاصّة هو الأثر الرئيس المُشار إليه في الميزة السادسة من مفهوم المؤلف.</w:t>
      </w:r>
    </w:p>
    <w:p>
      <w:pPr>
        <w:jc w:val="both"/>
      </w:pPr>
      <w:r>
        <w:t>الاتجاهات المستهدفة المحتملة (تُحدِّدها قوانين اتحادية وقرارات حكومية متخصّصة): الصناعة الثقيلة وصناعة الآلات؛ استبدال الواردات في القطاعات الحرجة؛ الرعاية الصحية (تحديث البنية التحتية والمعدّات)؛ العلوم والتعليم؛ البنية التحتية للنقل (الجسور، الطرق، مراكز اللوجستيات)؛ الطاقة والخدمات.</w:t>
      </w:r>
    </w:p>
    <w:p>
      <w:pPr>
        <w:pStyle w:val="Heading3"/>
      </w:pPr>
      <w:r>
        <w:t>12.3. الأثر على الأصول «النائمة»</w:t>
      </w:r>
    </w:p>
    <w:p>
      <w:pPr>
        <w:jc w:val="both"/>
      </w:pPr>
      <w:r>
        <w:t>وفق النقطة 4 من المفهوم — تعبئة الأصول الخاصة «النائمة» في الدورة الاقتصادية. حاليًّا نحو 80 % من المخزون السكني وحصة كبيرة من العقارات التجارية في الاتحاد الروسي لا تُستخدم كأداة رهن لأسباب موضوعية (بيروقراطية، طول الإجراءات، غياب المنتج الملائم). تزيل CPFSR هذه الحواجز عبر الأتمتة ومحيط منتج جديد. حتى السنة 10 — حتى 20 % من قاعدة الضمانات المحافظة في التداول (5 تريليون ₽)، أيّ ما يقابل تعبئة أصول 10–20 مليون أسرة ومؤسسة في الاتحاد الروسي.</w:t>
      </w:r>
    </w:p>
    <w:p>
      <w:pPr>
        <w:pStyle w:val="Heading3"/>
      </w:pPr>
      <w:r>
        <w:t>12.4. دخل إضافي للمالكين</w:t>
      </w:r>
    </w:p>
    <w:p>
      <w:pPr>
        <w:jc w:val="both"/>
      </w:pPr>
      <w:r>
        <w:t>وفق النقطة 9 من المفهوم — مكافأة مالية لمالك الأصل المرهون. بنموذج مكافأة المالك، مثلًا 1–2 % سنويًّا من اسمي DFA (المعدل الدقيق يحدّد بمعايير تنظيمية وشروط العقد مع المشغّل)، مجموع المدفوعات للمالكين حتى السنة 10: حجم stack DFA 25.9 تريليون ₽. عند 1 % — 259 مليار ₽ سنويًّا. عند 2 % — 518 مليار ₽ سنويًّا. يقارَن ذلك بميزانية عدة أقاليم ويوفّر إسهامًا «ثانويًّا» مهمًّا في الطلب الاستهلاكي والقاعدة الضريبية.</w:t>
      </w:r>
    </w:p>
    <w:p>
      <w:pPr>
        <w:pStyle w:val="Heading3"/>
      </w:pPr>
      <w:r>
        <w:t>12.5. الأثر على المنظومة المالية</w:t>
      </w:r>
    </w:p>
    <w:p>
      <w:pPr>
        <w:pStyle w:val="ListBullet"/>
      </w:pPr>
      <w:r>
        <w:t>توسيع قاعدة أدوات سوق الأوراق المالية (فئة جديدة من الأصول الموثوقة).</w:t>
      </w:r>
    </w:p>
    <w:p>
      <w:pPr>
        <w:pStyle w:val="ListBullet"/>
      </w:pPr>
      <w:r>
        <w:t>إمكانيات تنويع محافظ المعاشات والتأمين.</w:t>
      </w:r>
    </w:p>
    <w:p>
      <w:pPr>
        <w:pStyle w:val="ListBullet"/>
      </w:pPr>
      <w:r>
        <w:t>تطوير الخدمات المرافقة (التقييم، التأمين، الدعم القانوني) — وظائف إضافية في القطاع المالي.</w:t>
      </w:r>
    </w:p>
    <w:p>
      <w:pPr>
        <w:pStyle w:val="ListBullet"/>
      </w:pPr>
      <w:r>
        <w:t>دفعة لتطوير الفينتك الروسي والتقنيات التنظيمية.</w:t>
      </w:r>
    </w:p>
    <w:p>
      <w:pPr>
        <w:pStyle w:val="Heading3"/>
      </w:pPr>
      <w:r>
        <w:t>12.6. النظام التضخّمي</w:t>
      </w:r>
    </w:p>
    <w:p>
      <w:pPr>
        <w:jc w:val="both"/>
      </w:pPr>
      <w:r>
        <w:t>وفق النقطة 10 من المفهوم — الإصدار يجري مقابل أصول مضمونة بالكامل. هذا يختلف جوهريًّا عن الإصدار «المروحي»: كلّ روبل مُصدَر مضمون بمال حقيقي مُقيَّم بخصم. الأثر التضخّمي محايد أو مكافح للتضخّم (نموّ عرض السلع والخدمات عبر المشاريع الوطنية يُعوِّض الزيادة في الكتلة النقدية).</w:t>
      </w:r>
    </w:p>
    <w:p>
      <w:pPr>
        <w:pStyle w:val="Heading2"/>
      </w:pPr>
      <w:r>
        <w:t>13. GTM-sequencing وChampion-map (T+0…T+180)</w:t>
      </w:r>
    </w:p>
    <w:p>
      <w:pPr>
        <w:jc w:val="both"/>
      </w:pPr>
      <w:r>
        <w:t xml:space="preserve">تستلزم منطقة الـ wedge تجنّب بنك روسيا في الخطوة الأولى: بنك روسيا هو الجهة الأخيرة للمرحلة 1 (إدراج المشغّل في سجل 779-P). تتمّ الموافقات الرئيسة عبر وزارة التنمية الاقتصادية → وزارة المالية → VEB.RF → الدوما → الإقليم → Atomyze. خريطة Champion اسمية (متزامنة مع </w:t>
      </w:r>
      <w:r>
        <w:rPr>
          <w:rFonts w:ascii="Consolas" w:hAnsi="Consolas"/>
          <w:sz w:val="18"/>
        </w:rPr>
        <w:t>_Мастер/Концепт.md § 1-ter</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المرحلة</w:t>
            </w:r>
          </w:p>
        </w:tc>
        <w:tc>
          <w:tcPr>
            <w:tcW w:type="dxa" w:w="1728"/>
          </w:tcPr>
          <w:p>
            <w:r>
              <w:rPr>
                <w:b/>
                <w:sz w:val="17"/>
              </w:rPr>
            </w:r>
            <w:r>
              <w:rPr>
                <w:b/>
                <w:sz w:val="17"/>
              </w:rPr>
              <w:t>الشخص</w:t>
            </w:r>
          </w:p>
        </w:tc>
        <w:tc>
          <w:tcPr>
            <w:tcW w:type="dxa" w:w="1728"/>
          </w:tcPr>
          <w:p>
            <w:r>
              <w:rPr>
                <w:b/>
                <w:sz w:val="17"/>
              </w:rPr>
            </w:r>
            <w:r>
              <w:rPr>
                <w:b/>
                <w:sz w:val="17"/>
              </w:rPr>
              <w:t>الجهة</w:t>
            </w:r>
          </w:p>
        </w:tc>
        <w:tc>
          <w:tcPr>
            <w:tcW w:type="dxa" w:w="1728"/>
          </w:tcPr>
          <w:p>
            <w:r>
              <w:rPr>
                <w:b/>
                <w:sz w:val="17"/>
              </w:rPr>
            </w:r>
            <w:r>
              <w:rPr>
                <w:b/>
                <w:sz w:val="17"/>
              </w:rPr>
              <w:t>الهدف</w:t>
            </w:r>
          </w:p>
        </w:tc>
        <w:tc>
          <w:tcPr>
            <w:tcW w:type="dxa" w:w="1728"/>
          </w:tcPr>
          <w:p>
            <w:r>
              <w:rPr>
                <w:b/>
                <w:sz w:val="17"/>
              </w:rPr>
            </w:r>
            <w:r>
              <w:rPr>
                <w:b/>
                <w:sz w:val="17"/>
              </w:rPr>
              <w:t>الوثيقة الداعمة</w:t>
            </w:r>
          </w:p>
        </w:tc>
      </w:tr>
      <w:tr>
        <w:tc>
          <w:tcPr>
            <w:tcW w:type="dxa" w:w="1728"/>
          </w:tcPr>
          <w:p>
            <w:r>
              <w:rPr>
                <w:sz w:val="17"/>
              </w:rPr>
            </w:r>
            <w:r>
              <w:rPr>
                <w:sz w:val="17"/>
              </w:rPr>
              <w:t>T+30</w:t>
            </w:r>
          </w:p>
        </w:tc>
        <w:tc>
          <w:tcPr>
            <w:tcW w:type="dxa" w:w="1728"/>
          </w:tcPr>
          <w:p>
            <w:r>
              <w:rPr>
                <w:sz w:val="17"/>
              </w:rPr>
            </w:r>
            <w:r>
              <w:rPr>
                <w:b/>
                <w:sz w:val="17"/>
              </w:rPr>
              <w:t>المسؤول المختص</w:t>
            </w:r>
          </w:p>
        </w:tc>
        <w:tc>
          <w:tcPr>
            <w:tcW w:type="dxa" w:w="1728"/>
          </w:tcPr>
          <w:p>
            <w:r>
              <w:rPr>
                <w:sz w:val="17"/>
              </w:rPr>
            </w:r>
            <w:r>
              <w:rPr>
                <w:sz w:val="17"/>
              </w:rPr>
              <w:t>وزارة التنمية الاقتصادية، الوزير</w:t>
            </w:r>
          </w:p>
        </w:tc>
        <w:tc>
          <w:tcPr>
            <w:tcW w:type="dxa" w:w="1728"/>
          </w:tcPr>
          <w:p>
            <w:r>
              <w:rPr>
                <w:sz w:val="17"/>
              </w:rPr>
            </w:r>
            <w:r>
              <w:rPr>
                <w:sz w:val="17"/>
              </w:rPr>
              <w:t>Wedge-pilot المرحلة 1 كأداة لتسريع المشاريع الوطنية؛ named sponsor</w:t>
            </w:r>
          </w:p>
        </w:tc>
        <w:tc>
          <w:tcPr>
            <w:tcW w:type="dxa" w:w="1728"/>
          </w:tcPr>
          <w:p>
            <w:r>
              <w:rPr>
                <w:sz w:val="17"/>
              </w:rPr>
            </w:r>
            <w:r>
              <w:rPr>
                <w:sz w:val="17"/>
              </w:rPr>
              <w:t>خطة العمل + Pitch_deck + Wedge_pilot-light</w:t>
            </w:r>
          </w:p>
        </w:tc>
      </w:tr>
      <w:tr>
        <w:tc>
          <w:tcPr>
            <w:tcW w:type="dxa" w:w="1728"/>
          </w:tcPr>
          <w:p>
            <w:r>
              <w:rPr>
                <w:sz w:val="17"/>
              </w:rPr>
            </w:r>
            <w:r>
              <w:rPr>
                <w:sz w:val="17"/>
              </w:rPr>
              <w:t>T+30</w:t>
            </w:r>
          </w:p>
        </w:tc>
        <w:tc>
          <w:tcPr>
            <w:tcW w:type="dxa" w:w="1728"/>
          </w:tcPr>
          <w:p>
            <w:r>
              <w:rPr>
                <w:sz w:val="17"/>
              </w:rPr>
            </w:r>
            <w:r>
              <w:rPr>
                <w:b/>
                <w:sz w:val="17"/>
              </w:rPr>
              <w:t>ديوان حكومة الاتحاد الروسي</w:t>
            </w:r>
          </w:p>
        </w:tc>
        <w:tc>
          <w:tcPr>
            <w:tcW w:type="dxa" w:w="1728"/>
          </w:tcPr>
          <w:p>
            <w:r>
              <w:rPr>
                <w:sz w:val="17"/>
              </w:rPr>
            </w:r>
            <w:r>
              <w:rPr>
                <w:sz w:val="17"/>
              </w:rPr>
              <w:t>عبر مستشار قطاع الاقتصاد الرقمي</w:t>
            </w:r>
          </w:p>
        </w:tc>
        <w:tc>
          <w:tcPr>
            <w:tcW w:type="dxa" w:w="1728"/>
          </w:tcPr>
          <w:p>
            <w:r>
              <w:rPr>
                <w:sz w:val="17"/>
              </w:rPr>
            </w:r>
            <w:r>
              <w:rPr>
                <w:sz w:val="17"/>
              </w:rPr>
              <w:t>المفهوم المعماري؛ فريق العمل المشترك بين الإدارات</w:t>
            </w:r>
          </w:p>
        </w:tc>
        <w:tc>
          <w:tcPr>
            <w:tcW w:type="dxa" w:w="1728"/>
          </w:tcPr>
          <w:p>
            <w:r>
              <w:rPr>
                <w:sz w:val="17"/>
              </w:rPr>
            </w:r>
            <w:r>
              <w:rPr>
                <w:sz w:val="17"/>
              </w:rPr>
              <w:t>المفهوم § 1-bis + الإطار القانوني § 8.1</w:t>
            </w:r>
          </w:p>
        </w:tc>
      </w:tr>
      <w:tr>
        <w:tc>
          <w:tcPr>
            <w:tcW w:type="dxa" w:w="1728"/>
          </w:tcPr>
          <w:p>
            <w:r>
              <w:rPr>
                <w:sz w:val="17"/>
              </w:rPr>
            </w:r>
            <w:r>
              <w:rPr>
                <w:sz w:val="17"/>
              </w:rPr>
              <w:t>T+30</w:t>
            </w:r>
          </w:p>
        </w:tc>
        <w:tc>
          <w:tcPr>
            <w:tcW w:type="dxa" w:w="1728"/>
          </w:tcPr>
          <w:p>
            <w:r>
              <w:rPr>
                <w:sz w:val="17"/>
              </w:rPr>
            </w:r>
            <w:r>
              <w:rPr>
                <w:b/>
                <w:sz w:val="17"/>
              </w:rPr>
              <w:t>مشغّل نظام معلومات DFA قائم</w:t>
            </w:r>
          </w:p>
        </w:tc>
        <w:tc>
          <w:tcPr>
            <w:tcW w:type="dxa" w:w="1728"/>
          </w:tcPr>
          <w:p>
            <w:r>
              <w:rPr>
                <w:sz w:val="17"/>
              </w:rPr>
            </w:r>
            <w:r>
              <w:rPr>
                <w:sz w:val="17"/>
              </w:rPr>
              <w:t>عبر ممثّل موصى به</w:t>
            </w:r>
          </w:p>
        </w:tc>
        <w:tc>
          <w:tcPr>
            <w:tcW w:type="dxa" w:w="1728"/>
          </w:tcPr>
          <w:p>
            <w:r>
              <w:rPr>
                <w:sz w:val="17"/>
              </w:rPr>
            </w:r>
            <w:r>
              <w:rPr>
                <w:sz w:val="17"/>
              </w:rPr>
              <w:t>LoI شراكة تقنية: مشغّل الصفقة 779-P + CPFSR front-end</w:t>
            </w:r>
          </w:p>
        </w:tc>
        <w:tc>
          <w:tcPr>
            <w:tcW w:type="dxa" w:w="1728"/>
          </w:tcPr>
          <w:p>
            <w:r>
              <w:rPr>
                <w:sz w:val="17"/>
              </w:rPr>
            </w:r>
            <w:r>
              <w:rPr>
                <w:sz w:val="17"/>
              </w:rPr>
              <w:t>Pre-meeting_briefs/01_LoI_оператор_779П.md</w:t>
            </w:r>
          </w:p>
        </w:tc>
      </w:tr>
      <w:tr>
        <w:tc>
          <w:tcPr>
            <w:tcW w:type="dxa" w:w="1728"/>
          </w:tcPr>
          <w:p>
            <w:r>
              <w:rPr>
                <w:sz w:val="17"/>
              </w:rPr>
            </w:r>
            <w:r>
              <w:rPr>
                <w:sz w:val="17"/>
              </w:rPr>
              <w:t>T+90</w:t>
            </w:r>
          </w:p>
        </w:tc>
        <w:tc>
          <w:tcPr>
            <w:tcW w:type="dxa" w:w="1728"/>
          </w:tcPr>
          <w:p>
            <w:r>
              <w:rPr>
                <w:sz w:val="17"/>
              </w:rPr>
            </w:r>
            <w:r>
              <w:rPr>
                <w:b/>
                <w:sz w:val="17"/>
              </w:rPr>
              <w:t>المسؤول المختص</w:t>
            </w:r>
          </w:p>
        </w:tc>
        <w:tc>
          <w:tcPr>
            <w:tcW w:type="dxa" w:w="1728"/>
          </w:tcPr>
          <w:p>
            <w:r>
              <w:rPr>
                <w:sz w:val="17"/>
              </w:rPr>
            </w:r>
            <w:r>
              <w:rPr>
                <w:sz w:val="17"/>
              </w:rPr>
              <w:t>وزارة المالية، نائب الوزير (الدَّين)</w:t>
            </w:r>
          </w:p>
        </w:tc>
        <w:tc>
          <w:tcPr>
            <w:tcW w:type="dxa" w:w="1728"/>
          </w:tcPr>
          <w:p>
            <w:r>
              <w:rPr>
                <w:sz w:val="17"/>
              </w:rPr>
            </w:r>
            <w:r>
              <w:rPr>
                <w:sz w:val="17"/>
              </w:rPr>
              <w:t>قناة خارج الميزانية؛ حجّة تخفيف الضغط على OFZ</w:t>
            </w:r>
          </w:p>
        </w:tc>
        <w:tc>
          <w:tcPr>
            <w:tcW w:type="dxa" w:w="1728"/>
          </w:tcPr>
          <w:p>
            <w:r>
              <w:rPr>
                <w:sz w:val="17"/>
              </w:rPr>
            </w:r>
            <w:r>
              <w:rPr>
                <w:sz w:val="17"/>
              </w:rPr>
              <w:t>النموذج المالي v3 + خطة العمل</w:t>
            </w:r>
          </w:p>
        </w:tc>
      </w:tr>
      <w:tr>
        <w:tc>
          <w:tcPr>
            <w:tcW w:type="dxa" w:w="1728"/>
          </w:tcPr>
          <w:p>
            <w:r>
              <w:rPr>
                <w:sz w:val="17"/>
              </w:rPr>
            </w:r>
            <w:r>
              <w:rPr>
                <w:sz w:val="17"/>
              </w:rPr>
              <w:t>T+90</w:t>
            </w:r>
          </w:p>
        </w:tc>
        <w:tc>
          <w:tcPr>
            <w:tcW w:type="dxa" w:w="1728"/>
          </w:tcPr>
          <w:p>
            <w:r>
              <w:rPr>
                <w:sz w:val="17"/>
              </w:rPr>
            </w:r>
            <w:r>
              <w:rPr>
                <w:b/>
                <w:sz w:val="17"/>
              </w:rPr>
              <w:t>المسؤول المختص</w:t>
            </w:r>
          </w:p>
        </w:tc>
        <w:tc>
          <w:tcPr>
            <w:tcW w:type="dxa" w:w="1728"/>
          </w:tcPr>
          <w:p>
            <w:r>
              <w:rPr>
                <w:sz w:val="17"/>
              </w:rPr>
            </w:r>
            <w:r>
              <w:rPr>
                <w:sz w:val="17"/>
              </w:rPr>
              <w:t>وزارة المالية، نائب الوزير (الضرائب)</w:t>
            </w:r>
          </w:p>
        </w:tc>
        <w:tc>
          <w:tcPr>
            <w:tcW w:type="dxa" w:w="1728"/>
          </w:tcPr>
          <w:p>
            <w:r>
              <w:rPr>
                <w:sz w:val="17"/>
              </w:rPr>
            </w:r>
            <w:r>
              <w:rPr>
                <w:sz w:val="17"/>
              </w:rPr>
              <w:t>الموقف الضريبي من DFA (المادة 34.2؛ الفقرة 12.2 من البند 2 من المادة 149)</w:t>
            </w:r>
          </w:p>
        </w:tc>
        <w:tc>
          <w:tcPr>
            <w:tcW w:type="dxa" w:w="1728"/>
          </w:tcPr>
          <w:p>
            <w:r>
              <w:rPr>
                <w:sz w:val="17"/>
              </w:rPr>
            </w:r>
            <w:r>
              <w:rPr>
                <w:sz w:val="17"/>
              </w:rPr>
              <w:t>الإطار القانوني § 5 + استفسار بموجب المادة 34.2</w:t>
            </w:r>
          </w:p>
        </w:tc>
      </w:tr>
      <w:tr>
        <w:tc>
          <w:tcPr>
            <w:tcW w:type="dxa" w:w="1728"/>
          </w:tcPr>
          <w:p>
            <w:r>
              <w:rPr>
                <w:sz w:val="17"/>
              </w:rPr>
            </w:r>
            <w:r>
              <w:rPr>
                <w:sz w:val="17"/>
              </w:rPr>
              <w:t>T+90</w:t>
            </w:r>
          </w:p>
        </w:tc>
        <w:tc>
          <w:tcPr>
            <w:tcW w:type="dxa" w:w="1728"/>
          </w:tcPr>
          <w:p>
            <w:r>
              <w:rPr>
                <w:sz w:val="17"/>
              </w:rPr>
            </w:r>
            <w:r>
              <w:rPr>
                <w:b/>
                <w:sz w:val="17"/>
              </w:rPr>
              <w:t>VEB.RF FPF</w:t>
            </w:r>
          </w:p>
        </w:tc>
        <w:tc>
          <w:tcPr>
            <w:tcW w:type="dxa" w:w="1728"/>
          </w:tcPr>
          <w:p>
            <w:r>
              <w:rPr>
                <w:sz w:val="17"/>
              </w:rPr>
            </w:r>
            <w:r>
              <w:rPr>
                <w:sz w:val="17"/>
              </w:rPr>
              <w:t>عبر ممثّل موصى به من وزارة التنمية الاقتصادية</w:t>
            </w:r>
          </w:p>
        </w:tc>
        <w:tc>
          <w:tcPr>
            <w:tcW w:type="dxa" w:w="1728"/>
          </w:tcPr>
          <w:p>
            <w:r>
              <w:rPr>
                <w:sz w:val="17"/>
              </w:rPr>
            </w:r>
            <w:r>
              <w:rPr>
                <w:sz w:val="17"/>
              </w:rPr>
              <w:t>رسالة استشارية بموجب قرار رقم 158</w:t>
            </w:r>
          </w:p>
        </w:tc>
        <w:tc>
          <w:tcPr>
            <w:tcW w:type="dxa" w:w="1728"/>
          </w:tcPr>
          <w:p>
            <w:r>
              <w:rPr>
                <w:sz w:val="17"/>
              </w:rPr>
            </w:r>
            <w:r>
              <w:rPr>
                <w:sz w:val="17"/>
              </w:rPr>
              <w:t>Pre-meeting_briefs/02_Consultative_letter_ВЭБ.РФ.md</w:t>
            </w:r>
          </w:p>
        </w:tc>
      </w:tr>
      <w:tr>
        <w:tc>
          <w:tcPr>
            <w:tcW w:type="dxa" w:w="1728"/>
          </w:tcPr>
          <w:p>
            <w:r>
              <w:rPr>
                <w:sz w:val="17"/>
              </w:rPr>
            </w:r>
            <w:r>
              <w:rPr>
                <w:sz w:val="17"/>
              </w:rPr>
              <w:t>T+90</w:t>
            </w:r>
          </w:p>
        </w:tc>
        <w:tc>
          <w:tcPr>
            <w:tcW w:type="dxa" w:w="1728"/>
          </w:tcPr>
          <w:p>
            <w:r>
              <w:rPr>
                <w:sz w:val="17"/>
              </w:rPr>
            </w:r>
            <w:r>
              <w:rPr>
                <w:b/>
                <w:sz w:val="17"/>
              </w:rPr>
              <w:t>بنك شريك</w:t>
            </w:r>
          </w:p>
        </w:tc>
        <w:tc>
          <w:tcPr>
            <w:tcW w:type="dxa" w:w="1728"/>
          </w:tcPr>
          <w:p>
            <w:r>
              <w:rPr>
                <w:sz w:val="17"/>
              </w:rPr>
            </w:r>
            <w:r>
              <w:rPr>
                <w:sz w:val="17"/>
              </w:rPr>
              <w:t>عبر ممثّل موصى به من وزارة التنمية الاقتصادية</w:t>
            </w:r>
          </w:p>
        </w:tc>
        <w:tc>
          <w:tcPr>
            <w:tcW w:type="dxa" w:w="1728"/>
          </w:tcPr>
          <w:p>
            <w:r>
              <w:rPr>
                <w:sz w:val="17"/>
              </w:rPr>
            </w:r>
            <w:r>
              <w:rPr>
                <w:sz w:val="17"/>
              </w:rPr>
              <w:t>MoU في دور بنك تسوية التجربة</w:t>
            </w:r>
          </w:p>
        </w:tc>
        <w:tc>
          <w:tcPr>
            <w:tcW w:type="dxa" w:w="1728"/>
          </w:tcPr>
          <w:p>
            <w:r>
              <w:rPr>
                <w:sz w:val="17"/>
              </w:rPr>
            </w:r>
            <w:r>
              <w:rPr>
                <w:sz w:val="17"/>
              </w:rPr>
              <w:t>Pre-meeting_briefs/04_MoU_GPB_ПСБ.md</w:t>
            </w:r>
          </w:p>
        </w:tc>
      </w:tr>
      <w:tr>
        <w:tc>
          <w:tcPr>
            <w:tcW w:type="dxa" w:w="1728"/>
          </w:tcPr>
          <w:p>
            <w:r>
              <w:rPr>
                <w:sz w:val="17"/>
              </w:rPr>
            </w:r>
            <w:r>
              <w:rPr>
                <w:sz w:val="17"/>
              </w:rPr>
              <w:t>T+180</w:t>
            </w:r>
          </w:p>
        </w:tc>
        <w:tc>
          <w:tcPr>
            <w:tcW w:type="dxa" w:w="1728"/>
          </w:tcPr>
          <w:p>
            <w:r>
              <w:rPr>
                <w:sz w:val="17"/>
              </w:rPr>
            </w:r>
            <w:r>
              <w:rPr>
                <w:b/>
                <w:sz w:val="17"/>
              </w:rPr>
              <w:t>رستم المسؤول المختص</w:t>
            </w:r>
          </w:p>
        </w:tc>
        <w:tc>
          <w:tcPr>
            <w:tcW w:type="dxa" w:w="1728"/>
          </w:tcPr>
          <w:p>
            <w:r>
              <w:rPr>
                <w:sz w:val="17"/>
              </w:rPr>
            </w:r>
            <w:r>
              <w:rPr>
                <w:sz w:val="17"/>
              </w:rPr>
              <w:t>جمهورية تتارستان</w:t>
            </w:r>
          </w:p>
        </w:tc>
        <w:tc>
          <w:tcPr>
            <w:tcW w:type="dxa" w:w="1728"/>
          </w:tcPr>
          <w:p>
            <w:r>
              <w:rPr>
                <w:sz w:val="17"/>
              </w:rPr>
            </w:r>
            <w:r>
              <w:rPr>
                <w:sz w:val="17"/>
              </w:rPr>
              <w:t>MoU التجربة البلدية: 50–100 منشأة، 5–10 مليار ₽</w:t>
            </w:r>
          </w:p>
        </w:tc>
        <w:tc>
          <w:tcPr>
            <w:tcW w:type="dxa" w:w="1728"/>
          </w:tcPr>
          <w:p>
            <w:r>
              <w:rPr>
                <w:sz w:val="17"/>
              </w:rPr>
            </w:r>
            <w:r>
              <w:rPr>
                <w:sz w:val="17"/>
              </w:rPr>
              <w:t>Pre-meeting_briefs/03_MoU_Татарстан.md</w:t>
            </w:r>
          </w:p>
        </w:tc>
      </w:tr>
      <w:tr>
        <w:tc>
          <w:tcPr>
            <w:tcW w:type="dxa" w:w="1728"/>
          </w:tcPr>
          <w:p>
            <w:r>
              <w:rPr>
                <w:sz w:val="17"/>
              </w:rPr>
            </w:r>
            <w:r>
              <w:rPr>
                <w:sz w:val="17"/>
              </w:rPr>
              <w:t>T+180</w:t>
            </w:r>
          </w:p>
        </w:tc>
        <w:tc>
          <w:tcPr>
            <w:tcW w:type="dxa" w:w="1728"/>
          </w:tcPr>
          <w:p>
            <w:r>
              <w:rPr>
                <w:sz w:val="17"/>
              </w:rPr>
            </w:r>
            <w:r>
              <w:rPr>
                <w:b/>
                <w:sz w:val="17"/>
              </w:rPr>
              <w:t>المسؤول المختص</w:t>
            </w:r>
          </w:p>
        </w:tc>
        <w:tc>
          <w:tcPr>
            <w:tcW w:type="dxa" w:w="1728"/>
          </w:tcPr>
          <w:p>
            <w:r>
              <w:rPr>
                <w:sz w:val="17"/>
              </w:rPr>
            </w:r>
            <w:r>
              <w:rPr>
                <w:sz w:val="17"/>
              </w:rPr>
              <w:t>إقليم تيومين (احتياطي)</w:t>
            </w:r>
          </w:p>
        </w:tc>
        <w:tc>
          <w:tcPr>
            <w:tcW w:type="dxa" w:w="1728"/>
          </w:tcPr>
          <w:p>
            <w:r>
              <w:rPr>
                <w:sz w:val="17"/>
              </w:rPr>
            </w:r>
            <w:r>
              <w:rPr>
                <w:sz w:val="17"/>
              </w:rPr>
              <w:t>كما سبق</w:t>
            </w:r>
          </w:p>
        </w:tc>
        <w:tc>
          <w:tcPr>
            <w:tcW w:type="dxa" w:w="1728"/>
          </w:tcPr>
          <w:p>
            <w:r>
              <w:rPr>
                <w:sz w:val="17"/>
              </w:rPr>
            </w:r>
            <w:r>
              <w:rPr>
                <w:sz w:val="17"/>
              </w:rPr>
              <w:t>كما سبق</w:t>
            </w:r>
          </w:p>
        </w:tc>
      </w:tr>
      <w:tr>
        <w:tc>
          <w:tcPr>
            <w:tcW w:type="dxa" w:w="1728"/>
          </w:tcPr>
          <w:p>
            <w:r>
              <w:rPr>
                <w:sz w:val="17"/>
              </w:rPr>
            </w:r>
            <w:r>
              <w:rPr>
                <w:sz w:val="17"/>
              </w:rPr>
              <w:t>T+180</w:t>
            </w:r>
          </w:p>
        </w:tc>
        <w:tc>
          <w:tcPr>
            <w:tcW w:type="dxa" w:w="1728"/>
          </w:tcPr>
          <w:p>
            <w:r>
              <w:rPr>
                <w:sz w:val="17"/>
              </w:rPr>
            </w:r>
            <w:r>
              <w:rPr>
                <w:b/>
                <w:sz w:val="17"/>
              </w:rPr>
              <w:t>المسؤول المختص</w:t>
            </w:r>
          </w:p>
        </w:tc>
        <w:tc>
          <w:tcPr>
            <w:tcW w:type="dxa" w:w="1728"/>
          </w:tcPr>
          <w:p>
            <w:r>
              <w:rPr>
                <w:sz w:val="17"/>
              </w:rPr>
            </w:r>
            <w:r>
              <w:rPr>
                <w:sz w:val="17"/>
              </w:rPr>
              <w:t>الدوما، لجنة السوق المالية</w:t>
            </w:r>
          </w:p>
        </w:tc>
        <w:tc>
          <w:tcPr>
            <w:tcW w:type="dxa" w:w="1728"/>
          </w:tcPr>
          <w:p>
            <w:r>
              <w:rPr>
                <w:sz w:val="17"/>
              </w:rPr>
            </w:r>
            <w:r>
              <w:rPr>
                <w:sz w:val="17"/>
              </w:rPr>
              <w:t>مشاورات بشأن 259-FZ للمرحلة 1؛ أفق المرحلة 2 — حزمة 4 قوانين</w:t>
            </w:r>
          </w:p>
        </w:tc>
        <w:tc>
          <w:tcPr>
            <w:tcW w:type="dxa" w:w="1728"/>
          </w:tcPr>
          <w:p>
            <w:r>
              <w:rPr>
                <w:sz w:val="17"/>
              </w:rPr>
            </w:r>
            <w:r>
              <w:rPr>
                <w:sz w:val="17"/>
              </w:rPr>
              <w:t>مذكّرة لبنك روسيا + المفهوم</w:t>
            </w:r>
          </w:p>
        </w:tc>
      </w:tr>
      <w:tr>
        <w:tc>
          <w:tcPr>
            <w:tcW w:type="dxa" w:w="1728"/>
          </w:tcPr>
          <w:p>
            <w:r>
              <w:rPr>
                <w:sz w:val="17"/>
              </w:rPr>
            </w:r>
            <w:r>
              <w:rPr>
                <w:sz w:val="17"/>
              </w:rPr>
              <w:t>T+180+</w:t>
            </w:r>
          </w:p>
        </w:tc>
        <w:tc>
          <w:tcPr>
            <w:tcW w:type="dxa" w:w="1728"/>
          </w:tcPr>
          <w:p>
            <w:r>
              <w:rPr>
                <w:sz w:val="17"/>
              </w:rPr>
            </w:r>
            <w:r>
              <w:rPr>
                <w:b/>
                <w:sz w:val="17"/>
              </w:rPr>
              <w:t>بنك روسيا</w:t>
            </w:r>
          </w:p>
        </w:tc>
        <w:tc>
          <w:tcPr>
            <w:tcW w:type="dxa" w:w="1728"/>
          </w:tcPr>
          <w:p>
            <w:r>
              <w:rPr>
                <w:sz w:val="17"/>
              </w:rPr>
            </w:r>
            <w:r>
              <w:rPr>
                <w:sz w:val="17"/>
              </w:rPr>
              <w:t>عبر موقف موحَّد بين الإدارات</w:t>
            </w:r>
          </w:p>
        </w:tc>
        <w:tc>
          <w:tcPr>
            <w:tcW w:type="dxa" w:w="1728"/>
          </w:tcPr>
          <w:p>
            <w:r>
              <w:rPr>
                <w:sz w:val="17"/>
              </w:rPr>
            </w:r>
            <w:r>
              <w:rPr>
                <w:sz w:val="17"/>
              </w:rPr>
              <w:t>سجل مشغّلي نظم معلومات DFA وفق 779-P (المرحلة 1)</w:t>
            </w:r>
          </w:p>
        </w:tc>
        <w:tc>
          <w:tcPr>
            <w:tcW w:type="dxa" w:w="1728"/>
          </w:tcPr>
          <w:p>
            <w:r>
              <w:rPr>
                <w:sz w:val="17"/>
              </w:rPr>
            </w:r>
            <w:r>
              <w:rPr>
                <w:sz w:val="17"/>
              </w:rPr>
              <w:t>الإطار القانوني § 8.1</w:t>
            </w:r>
          </w:p>
        </w:tc>
      </w:tr>
    </w:tbl>
    <w:p/>
    <w:p>
      <w:pPr>
        <w:jc w:val="both"/>
      </w:pPr>
      <w:r>
        <w:rPr>
          <w:b/>
        </w:rPr>
        <w:t>مؤشّرات النجاح للانتقال من المرحلة 1 إلى المرحلة 2:</w:t>
      </w:r>
      <w:r>
        <w:t xml:space="preserve"> عائد ≥ 18 % سنويًّا لمالكي الأصول؛ ≥ 8 أقاليم في المنظومة؛ AUM ≥ 50 مليار ₽ بنهاية 2027؛ لا حوادث من فئة 779-P § 9 (حماية حقوق المستثمرين).</w:t>
      </w:r>
    </w:p>
    <w:p>
      <w:pPr>
        <w:jc w:val="both"/>
      </w:pPr>
      <w:r>
        <w:t xml:space="preserve">Pre-meeting briefs لكل champion — في </w:t>
      </w:r>
      <w:r>
        <w:rPr>
          <w:rFonts w:ascii="Consolas" w:hAnsi="Consolas"/>
          <w:sz w:val="18"/>
        </w:rPr>
        <w:t>02_Юридический_фундамент/Pre-meeting_briefs/</w:t>
      </w:r>
      <w:r>
        <w:t xml:space="preserve"> (4 drafts جاهزة).</w:t>
      </w:r>
    </w:p>
    <w:p>
      <w:pPr>
        <w:pStyle w:val="Heading2"/>
      </w:pPr>
      <w:r>
        <w:t>14. الملاحق</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الوثيقة</w:t>
            </w:r>
          </w:p>
        </w:tc>
        <w:tc>
          <w:tcPr>
            <w:tcW w:type="dxa" w:w="4320"/>
          </w:tcPr>
          <w:p>
            <w:r>
              <w:rPr>
                <w:b/>
                <w:sz w:val="17"/>
              </w:rPr>
            </w:r>
            <w:r>
              <w:rPr>
                <w:b/>
                <w:sz w:val="17"/>
              </w:rPr>
              <w:t>الموقع</w:t>
            </w:r>
          </w:p>
        </w:tc>
      </w:tr>
      <w:tr>
        <w:tc>
          <w:tcPr>
            <w:tcW w:type="dxa" w:w="4320"/>
          </w:tcPr>
          <w:p>
            <w:r>
              <w:rPr>
                <w:sz w:val="17"/>
              </w:rPr>
            </w:r>
            <w:r>
              <w:rPr>
                <w:sz w:val="17"/>
              </w:rPr>
              <w:t>النموذج المالي</w:t>
            </w:r>
          </w:p>
        </w:tc>
        <w:tc>
          <w:tcPr>
            <w:tcW w:type="dxa" w:w="4320"/>
          </w:tcPr>
          <w:p>
            <w:r>
              <w:rPr>
                <w:sz w:val="17"/>
              </w:rPr>
            </w:r>
            <w:r>
              <w:rPr>
                <w:rFonts w:ascii="Consolas" w:hAnsi="Consolas"/>
                <w:sz w:val="17"/>
              </w:rPr>
              <w:t>03_Финансовая_модель/Финансовая_модель_ЦП_РСФСР.md</w:t>
            </w:r>
          </w:p>
        </w:tc>
      </w:tr>
      <w:tr>
        <w:tc>
          <w:tcPr>
            <w:tcW w:type="dxa" w:w="4320"/>
          </w:tcPr>
          <w:p>
            <w:r>
              <w:rPr>
                <w:sz w:val="17"/>
              </w:rPr>
            </w:r>
            <w:r>
              <w:rPr>
                <w:sz w:val="17"/>
              </w:rPr>
              <w:t>ملاحظات النموذج المالي</w:t>
            </w:r>
          </w:p>
        </w:tc>
        <w:tc>
          <w:tcPr>
            <w:tcW w:type="dxa" w:w="4320"/>
          </w:tcPr>
          <w:p>
            <w:r>
              <w:rPr>
                <w:sz w:val="17"/>
              </w:rPr>
            </w:r>
            <w:r>
              <w:rPr>
                <w:rFonts w:ascii="Consolas" w:hAnsi="Consolas"/>
                <w:sz w:val="17"/>
              </w:rPr>
              <w:t>03_Финансовая_модель/Финмодель_допущения_и_расчёты.md</w:t>
            </w:r>
          </w:p>
        </w:tc>
      </w:tr>
      <w:tr>
        <w:tc>
          <w:tcPr>
            <w:tcW w:type="dxa" w:w="4320"/>
          </w:tcPr>
          <w:p>
            <w:r>
              <w:rPr>
                <w:sz w:val="17"/>
              </w:rPr>
            </w:r>
            <w:r>
              <w:rPr>
                <w:sz w:val="17"/>
              </w:rPr>
              <w:t>مفهوم المؤلف</w:t>
            </w:r>
          </w:p>
        </w:tc>
        <w:tc>
          <w:tcPr>
            <w:tcW w:type="dxa" w:w="4320"/>
          </w:tcPr>
          <w:p>
            <w:r>
              <w:rPr>
                <w:sz w:val="17"/>
              </w:rPr>
            </w:r>
            <w:r>
              <w:rPr>
                <w:rFonts w:ascii="Consolas" w:hAnsi="Consolas"/>
                <w:sz w:val="17"/>
              </w:rPr>
              <w:t>_Мастер/Концепт.md</w:t>
            </w:r>
          </w:p>
        </w:tc>
      </w:tr>
      <w:tr>
        <w:tc>
          <w:tcPr>
            <w:tcW w:type="dxa" w:w="4320"/>
          </w:tcPr>
          <w:p>
            <w:r>
              <w:rPr>
                <w:sz w:val="17"/>
              </w:rPr>
            </w:r>
            <w:r>
              <w:rPr>
                <w:sz w:val="17"/>
              </w:rPr>
              <w:t>الإطار القانوني</w:t>
            </w:r>
          </w:p>
        </w:tc>
        <w:tc>
          <w:tcPr>
            <w:tcW w:type="dxa" w:w="4320"/>
          </w:tcPr>
          <w:p>
            <w:r>
              <w:rPr>
                <w:sz w:val="17"/>
              </w:rPr>
            </w:r>
            <w:r>
              <w:rPr>
                <w:rFonts w:ascii="Consolas" w:hAnsi="Consolas"/>
                <w:sz w:val="17"/>
              </w:rPr>
              <w:t>02_Юридический_фундамент/</w:t>
            </w:r>
            <w:r>
              <w:rPr>
                <w:sz w:val="17"/>
              </w:rPr>
              <w:t xml:space="preserve"> (وثيقة منفصلة)</w:t>
            </w:r>
          </w:p>
        </w:tc>
      </w:tr>
      <w:tr>
        <w:tc>
          <w:tcPr>
            <w:tcW w:type="dxa" w:w="4320"/>
          </w:tcPr>
          <w:p>
            <w:r>
              <w:rPr>
                <w:sz w:val="17"/>
              </w:rPr>
            </w:r>
            <w:r>
              <w:rPr>
                <w:sz w:val="17"/>
              </w:rPr>
              <w:t>الحلّ التقني</w:t>
            </w:r>
          </w:p>
        </w:tc>
        <w:tc>
          <w:tcPr>
            <w:tcW w:type="dxa" w:w="4320"/>
          </w:tcPr>
          <w:p>
            <w:r>
              <w:rPr>
                <w:sz w:val="17"/>
              </w:rPr>
            </w:r>
            <w:r>
              <w:rPr>
                <w:rFonts w:ascii="Consolas" w:hAnsi="Consolas"/>
                <w:sz w:val="17"/>
              </w:rPr>
              <w:t>01_Техническая_документация/</w:t>
            </w:r>
            <w:r>
              <w:rPr>
                <w:sz w:val="17"/>
              </w:rPr>
              <w:t xml:space="preserve"> (وثيقة منفصلة)</w:t>
            </w:r>
          </w:p>
        </w:tc>
      </w:tr>
      <w:tr>
        <w:tc>
          <w:tcPr>
            <w:tcW w:type="dxa" w:w="4320"/>
          </w:tcPr>
          <w:p>
            <w:r>
              <w:rPr>
                <w:sz w:val="17"/>
              </w:rPr>
            </w:r>
            <w:r>
              <w:rPr>
                <w:sz w:val="17"/>
              </w:rPr>
              <w:t>Pre-meeting briefs</w:t>
            </w:r>
          </w:p>
        </w:tc>
        <w:tc>
          <w:tcPr>
            <w:tcW w:type="dxa" w:w="4320"/>
          </w:tcPr>
          <w:p>
            <w:r>
              <w:rPr>
                <w:sz w:val="17"/>
              </w:rPr>
            </w:r>
            <w:r>
              <w:rPr>
                <w:rFonts w:ascii="Consolas" w:hAnsi="Consolas"/>
                <w:sz w:val="17"/>
              </w:rPr>
              <w:t>02_Юридический_фундамент/Pre-meeting_briefs/</w:t>
            </w:r>
          </w:p>
        </w:tc>
      </w:tr>
      <w:tr>
        <w:tc>
          <w:tcPr>
            <w:tcW w:type="dxa" w:w="4320"/>
          </w:tcPr>
          <w:p>
            <w:r>
              <w:rPr>
                <w:sz w:val="17"/>
              </w:rPr>
            </w:r>
            <w:r>
              <w:rPr>
                <w:sz w:val="17"/>
              </w:rPr>
              <w:t>شهادة الإيداع</w:t>
            </w:r>
          </w:p>
        </w:tc>
        <w:tc>
          <w:tcPr>
            <w:tcW w:type="dxa" w:w="4320"/>
          </w:tcPr>
          <w:p>
            <w:r>
              <w:rPr>
                <w:sz w:val="17"/>
              </w:rPr>
            </w:r>
            <w:r>
              <w:rPr>
                <w:sz w:val="17"/>
              </w:rPr>
              <w:t>رقم 4011265 بتاريخ 19.12.2024 (محفوظة لدى المؤلف)</w:t>
            </w:r>
          </w:p>
        </w:tc>
      </w:tr>
    </w:tbl>
    <w:p/>
    <w:p>
      <w:pPr>
        <w:jc w:val="both"/>
      </w:pPr>
      <w:r>
        <w:rPr>
          <w:b/>
        </w:rPr>
        <w:t>التاريخ:</w:t>
      </w:r>
      <w:r>
        <w:t xml:space="preserve"> 24.05.2026 (refactor بعد Horizon-II: أُضيف § 13 GTM-sequencing). </w:t>
      </w:r>
      <w:r>
        <w:rPr>
          <w:b/>
        </w:rPr>
        <w:t>المصادر:</w:t>
      </w:r>
      <w:r>
        <w:t xml:space="preserve"> مفهوم المؤلف (كاغيروف أ.-خ. أ.، شهادة رقم 4011265 بتاريخ 19.12.2024)؛ 86-FZ، 259-FZ، قانون الضرائب، التوجّهات الرئيسة لسياسة بنك روسيا النقدية؛ بيانات Rosstat. لم تُستخدم مواد من جهات أخرى.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