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Wedge / Pilot-light ضمن 259-FZ القائم</w:t>
      </w:r>
    </w:p>
    <w:p>
      <w:pPr>
        <w:ind w:left="360"/>
      </w:pPr>
      <w:r>
        <w:rPr>
          <w:b/>
          <w:i/>
          <w:color w:val="444444"/>
        </w:rPr>
        <w:t>ملاحظة.</w:t>
      </w:r>
      <w:r>
        <w:rPr>
          <w:i/>
          <w:color w:val="444444"/>
        </w:rPr>
        <w:t xml:space="preserve"> هذه الترجمة تتبع الأصل الروسي. أُعيد احتساب القسم المالي في الأصل بتاريخ 07.09.2026 (النموذج v5)، وقد وُوئمت أرقام هذه الترجمة مع ذلك الاحتساب. وعند أي اختلاف في الصياغة يُعتد بالنسخة الروسية.</w:t>
      </w:r>
    </w:p>
    <w:p>
      <w:pPr>
        <w:jc w:val="both"/>
      </w:pPr>
      <w:r>
        <w:rPr>
          <w:b/>
        </w:rPr>
        <w:t>الوثيقة:</w:t>
      </w:r>
      <w:r>
        <w:t xml:space="preserve"> مفهوم الحدّ الأدنى من المحيط القابل للحياة («wedge») لمشغّل نظام معلومات DFA، لا يتطلّب تعديلات على 86-FZ ولا على التشريعات المتعلّقة بالروبل الرقمي. </w:t>
      </w:r>
      <w:r>
        <w:rPr>
          <w:b/>
        </w:rPr>
        <w:t>الهدف:</w:t>
      </w:r>
      <w:r>
        <w:t xml:space="preserve"> إغلاق العلامة الحمراء D5 من التدقيق الموحَّد في 24.05.2026 («نسخة wedge / pilot-light غير متوفّرة»). </w:t>
      </w:r>
      <w:r>
        <w:rPr>
          <w:b/>
        </w:rPr>
        <w:t>المنطق الاستراتيجي:</w:t>
      </w:r>
      <w:r>
        <w:t xml:space="preserve"> عدم الدخول إلى بنك روسيا في الخطوة الأولى ببنية تستلزم حزمة من 4 قوانين اتحادية؛ الدخول عبر wedge-pilot ضمن 259-FZ القائم بفضل تحالف VEB.RF / وزارة التنمية الاقتصادية / partner bank / 779-P operator؛ وبعد 18–36 شهرًا من التشغيل الفعلي — فتح الحوار مع بنك روسيا عبر موقف موحَّد بين الإدارات. </w:t>
      </w:r>
      <w:r>
        <w:rPr>
          <w:b/>
        </w:rPr>
        <w:t>التاريخ:</w:t>
      </w:r>
      <w:r>
        <w:t xml:space="preserve"> 24.05.2026.</w:t>
      </w:r>
    </w:p>
    <w:p>
      <w:pPr>
        <w:pStyle w:val="Heading2"/>
      </w:pPr>
      <w:r>
        <w:t>1. ما هو wedge / pilot-light</w:t>
      </w:r>
    </w:p>
    <w:p>
      <w:pPr>
        <w:jc w:val="both"/>
      </w:pPr>
      <w:r>
        <w:t>الـ wedge هو التهيئة الدنيا للمنصة التي:</w:t>
      </w:r>
    </w:p>
    <w:p>
      <w:pPr>
        <w:pStyle w:val="ListBullet"/>
      </w:pPr>
      <w:r>
        <w:rPr>
          <w:b/>
        </w:rPr>
        <w:t>يُحافَظ فيها على عرض القيمة</w:t>
      </w:r>
      <w:r>
        <w:t xml:space="preserve"> (إصدار DFA مستهدفة بضمان أصول، وتوجيه الإنفاق إلى مشاريع التنمية الاجتماعية).</w:t>
      </w:r>
    </w:p>
    <w:p>
      <w:pPr>
        <w:pStyle w:val="ListBullet"/>
      </w:pPr>
      <w:r>
        <w:rPr>
          <w:b/>
        </w:rPr>
        <w:t>تُزال فيها المخاطرة التنظيمية الكبرى</w:t>
      </w:r>
      <w:r>
        <w:t xml:space="preserve"> (التخلّي عن صياغة «إصدار مستهدف من بنك روسيا»).</w:t>
      </w:r>
    </w:p>
    <w:p>
      <w:pPr>
        <w:pStyle w:val="ListBullet"/>
      </w:pPr>
      <w:r>
        <w:rPr>
          <w:b/>
        </w:rPr>
        <w:t>يُستبدَل فيها مصدر التمويل المستهدف</w:t>
      </w:r>
      <w:r>
        <w:t xml:space="preserve"> — بدلًا من إصدار من بنك روسيا، تُستخدم القناة القائمة للتمويل المؤسسي عبر development institution / partner bank / sectoral institution.</w:t>
      </w:r>
    </w:p>
    <w:p>
      <w:pPr>
        <w:pStyle w:val="ListBullet"/>
      </w:pPr>
      <w:r>
        <w:rPr>
          <w:b/>
        </w:rPr>
        <w:t>يتحقّق فيها محيط unit-economic أساسي</w:t>
      </w:r>
      <w:r>
        <w:t xml:space="preserve"> (إيرادات من عمولات الإصدار والخدمة).</w:t>
      </w:r>
    </w:p>
    <w:p>
      <w:pPr>
        <w:pStyle w:val="ListBullet"/>
      </w:pPr>
      <w:r>
        <w:rPr>
          <w:b/>
        </w:rPr>
        <w:t>يتكوّن فيها أداة تفاوضية</w:t>
      </w:r>
      <w:r>
        <w:t xml:space="preserve"> للحوار اللاحق مع بنك روسيا عبر موقف موحَّد بين الإدارات.</w:t>
      </w:r>
    </w:p>
    <w:p>
      <w:pPr>
        <w:jc w:val="both"/>
      </w:pPr>
      <w:r>
        <w:t>لا يحتاج هذا النمط إلى تعديلات على 86-FZ ولا على قانون الميزانية؛ يندرج كاملًا ضمن 259-FZ + لائحة بنك روسيا 779-P القائمَين.</w:t>
      </w:r>
    </w:p>
    <w:p>
      <w:pPr>
        <w:pStyle w:val="Heading2"/>
      </w:pPr>
      <w:r>
        <w:t>2. معطيات الـ wedge-pilot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المعطى</w:t>
            </w:r>
          </w:p>
        </w:tc>
        <w:tc>
          <w:tcPr>
            <w:tcW w:type="dxa" w:w="4320"/>
          </w:tcPr>
          <w:p>
            <w:r>
              <w:rPr>
                <w:b/>
                <w:sz w:val="17"/>
              </w:rPr>
            </w:r>
            <w:r>
              <w:rPr>
                <w:b/>
                <w:sz w:val="17"/>
              </w:rPr>
              <w:t>القيمة</w:t>
            </w:r>
          </w:p>
        </w:tc>
      </w:tr>
      <w:tr>
        <w:tc>
          <w:tcPr>
            <w:tcW w:type="dxa" w:w="4320"/>
          </w:tcPr>
          <w:p>
            <w:r>
              <w:rPr>
                <w:sz w:val="17"/>
              </w:rPr>
            </w:r>
            <w:r>
              <w:rPr>
                <w:b/>
                <w:sz w:val="17"/>
              </w:rPr>
              <w:t>منطقة التجربة</w:t>
            </w:r>
          </w:p>
        </w:tc>
        <w:tc>
          <w:tcPr>
            <w:tcW w:type="dxa" w:w="4320"/>
          </w:tcPr>
          <w:p>
            <w:r>
              <w:rPr>
                <w:sz w:val="17"/>
              </w:rPr>
            </w:r>
            <w:r>
              <w:rPr>
                <w:sz w:val="17"/>
              </w:rPr>
              <w:t>جمهورية تتارستان أو منطقة تيومين (الاختيار بنتائج المفاوضات مع الحكومة الإقليمية)</w:t>
            </w:r>
          </w:p>
        </w:tc>
      </w:tr>
      <w:tr>
        <w:tc>
          <w:tcPr>
            <w:tcW w:type="dxa" w:w="4320"/>
          </w:tcPr>
          <w:p>
            <w:r>
              <w:rPr>
                <w:sz w:val="17"/>
              </w:rPr>
            </w:r>
            <w:r>
              <w:rPr>
                <w:b/>
                <w:sz w:val="17"/>
              </w:rPr>
              <w:t>نوع الأصول المرهونة</w:t>
            </w:r>
          </w:p>
        </w:tc>
        <w:tc>
          <w:tcPr>
            <w:tcW w:type="dxa" w:w="4320"/>
          </w:tcPr>
          <w:p>
            <w:r>
              <w:rPr>
                <w:sz w:val="17"/>
              </w:rPr>
            </w:r>
            <w:r>
              <w:rPr>
                <w:sz w:val="17"/>
              </w:rPr>
              <w:t>عقارات بلدية وحكومية (دون أفراد في المرحلة الأولى — لتقليل مخاطر المستهلك)</w:t>
            </w:r>
          </w:p>
        </w:tc>
      </w:tr>
      <w:tr>
        <w:tc>
          <w:tcPr>
            <w:tcW w:type="dxa" w:w="4320"/>
          </w:tcPr>
          <w:p>
            <w:r>
              <w:rPr>
                <w:sz w:val="17"/>
              </w:rPr>
            </w:r>
            <w:r>
              <w:rPr>
                <w:b/>
                <w:sz w:val="17"/>
              </w:rPr>
              <w:t>حجم تجمّع السنة الأولى</w:t>
            </w:r>
          </w:p>
        </w:tc>
        <w:tc>
          <w:tcPr>
            <w:tcW w:type="dxa" w:w="4320"/>
          </w:tcPr>
          <w:p>
            <w:r>
              <w:rPr>
                <w:sz w:val="17"/>
              </w:rPr>
            </w:r>
            <w:r>
              <w:rPr>
                <w:sz w:val="17"/>
              </w:rPr>
              <w:t>5–10 مليار ₽ (50–100 منشأة من البلدية)</w:t>
            </w:r>
          </w:p>
        </w:tc>
      </w:tr>
      <w:tr>
        <w:tc>
          <w:tcPr>
            <w:tcW w:type="dxa" w:w="4320"/>
          </w:tcPr>
          <w:p>
            <w:r>
              <w:rPr>
                <w:sz w:val="17"/>
              </w:rPr>
            </w:r>
            <w:r>
              <w:rPr>
                <w:b/>
                <w:sz w:val="17"/>
              </w:rPr>
              <w:t>بنك الشريك الابتدائي</w:t>
            </w:r>
          </w:p>
        </w:tc>
        <w:tc>
          <w:tcPr>
            <w:tcW w:type="dxa" w:w="4320"/>
          </w:tcPr>
          <w:p>
            <w:r>
              <w:rPr>
                <w:sz w:val="17"/>
              </w:rPr>
            </w:r>
            <w:r>
              <w:rPr>
                <w:sz w:val="17"/>
              </w:rPr>
              <w:t>partner bank أو reserve partner bank (يُحدَّد بـ MoU)</w:t>
            </w:r>
          </w:p>
        </w:tc>
      </w:tr>
      <w:tr>
        <w:tc>
          <w:tcPr>
            <w:tcW w:type="dxa" w:w="4320"/>
          </w:tcPr>
          <w:p>
            <w:r>
              <w:rPr>
                <w:sz w:val="17"/>
              </w:rPr>
            </w:r>
            <w:r>
              <w:rPr>
                <w:b/>
                <w:sz w:val="17"/>
              </w:rPr>
              <w:t>شركة التأمين الابتدائية</w:t>
            </w:r>
          </w:p>
        </w:tc>
        <w:tc>
          <w:tcPr>
            <w:tcW w:type="dxa" w:w="4320"/>
          </w:tcPr>
          <w:p>
            <w:r>
              <w:rPr>
                <w:sz w:val="17"/>
              </w:rPr>
            </w:r>
            <w:r>
              <w:rPr>
                <w:sz w:val="17"/>
              </w:rPr>
              <w:t>Sogor / Ingosstrakh / SOGAZ-SK (مناقصة)</w:t>
            </w:r>
          </w:p>
        </w:tc>
      </w:tr>
      <w:tr>
        <w:tc>
          <w:tcPr>
            <w:tcW w:type="dxa" w:w="4320"/>
          </w:tcPr>
          <w:p>
            <w:r>
              <w:rPr>
                <w:sz w:val="17"/>
              </w:rPr>
            </w:r>
            <w:r>
              <w:rPr>
                <w:b/>
                <w:sz w:val="17"/>
              </w:rPr>
              <w:t>مصدر التمويل المستهدف</w:t>
            </w:r>
          </w:p>
        </w:tc>
        <w:tc>
          <w:tcPr>
            <w:tcW w:type="dxa" w:w="4320"/>
          </w:tcPr>
          <w:p>
            <w:r>
              <w:rPr>
                <w:sz w:val="17"/>
              </w:rPr>
            </w:r>
            <w:r>
              <w:rPr>
                <w:sz w:val="17"/>
              </w:rPr>
              <w:t>قروض البنية التحتية من VEB.RF (مصنع تمويل المشاريع) بضمانات حكومية</w:t>
            </w:r>
          </w:p>
        </w:tc>
      </w:tr>
      <w:tr>
        <w:tc>
          <w:tcPr>
            <w:tcW w:type="dxa" w:w="4320"/>
          </w:tcPr>
          <w:p>
            <w:r>
              <w:rPr>
                <w:sz w:val="17"/>
              </w:rPr>
            </w:r>
            <w:r>
              <w:rPr>
                <w:b/>
                <w:sz w:val="17"/>
              </w:rPr>
              <w:t>القاعدة التنظيمية</w:t>
            </w:r>
          </w:p>
        </w:tc>
        <w:tc>
          <w:tcPr>
            <w:tcW w:type="dxa" w:w="4320"/>
          </w:tcPr>
          <w:p>
            <w:r>
              <w:rPr>
                <w:sz w:val="17"/>
              </w:rPr>
            </w:r>
            <w:r>
              <w:rPr>
                <w:sz w:val="17"/>
              </w:rPr>
              <w:t>259-FZ + 779-P + النظام القانوني التجريبي بموجب 258-FZ</w:t>
            </w:r>
          </w:p>
        </w:tc>
      </w:tr>
      <w:tr>
        <w:tc>
          <w:tcPr>
            <w:tcW w:type="dxa" w:w="4320"/>
          </w:tcPr>
          <w:p>
            <w:r>
              <w:rPr>
                <w:sz w:val="17"/>
              </w:rPr>
            </w:r>
            <w:r>
              <w:rPr>
                <w:b/>
                <w:sz w:val="17"/>
              </w:rPr>
              <w:t>موعد الإطلاق</w:t>
            </w:r>
          </w:p>
        </w:tc>
        <w:tc>
          <w:tcPr>
            <w:tcW w:type="dxa" w:w="4320"/>
          </w:tcPr>
          <w:p>
            <w:r>
              <w:rPr>
                <w:sz w:val="17"/>
              </w:rPr>
            </w:r>
            <w:r>
              <w:rPr>
                <w:b/>
                <w:sz w:val="17"/>
              </w:rPr>
              <w:t>الربع 3 من 2027 (T+18 شهرًا من تأسيس JSC)</w:t>
            </w:r>
          </w:p>
        </w:tc>
      </w:tr>
    </w:tbl>
    <w:p/>
    <w:p>
      <w:pPr>
        <w:pStyle w:val="Heading2"/>
      </w:pPr>
      <w:r>
        <w:t>3. أصحاب المصلحة في الـ wedge-pilot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صاحب المصلحة</w:t>
            </w:r>
          </w:p>
        </w:tc>
        <w:tc>
          <w:tcPr>
            <w:tcW w:type="dxa" w:w="2880"/>
          </w:tcPr>
          <w:p>
            <w:r>
              <w:rPr>
                <w:b/>
                <w:sz w:val="17"/>
              </w:rPr>
            </w:r>
            <w:r>
              <w:rPr>
                <w:b/>
                <w:sz w:val="17"/>
              </w:rPr>
              <w:t>الدور</w:t>
            </w:r>
          </w:p>
        </w:tc>
        <w:tc>
          <w:tcPr>
            <w:tcW w:type="dxa" w:w="2880"/>
          </w:tcPr>
          <w:p>
            <w:r>
              <w:rPr>
                <w:b/>
                <w:sz w:val="17"/>
              </w:rPr>
            </w:r>
            <w:r>
              <w:rPr>
                <w:b/>
                <w:sz w:val="17"/>
              </w:rPr>
              <w:t>استراتيجية الاستقطاب</w:t>
            </w:r>
          </w:p>
        </w:tc>
      </w:tr>
      <w:tr>
        <w:tc>
          <w:tcPr>
            <w:tcW w:type="dxa" w:w="2880"/>
          </w:tcPr>
          <w:p>
            <w:r>
              <w:rPr>
                <w:sz w:val="17"/>
              </w:rPr>
            </w:r>
            <w:r>
              <w:rPr>
                <w:b/>
                <w:sz w:val="17"/>
              </w:rPr>
              <w:t>حكومة تتارستان / تيومين</w:t>
            </w:r>
          </w:p>
        </w:tc>
        <w:tc>
          <w:tcPr>
            <w:tcW w:type="dxa" w:w="2880"/>
          </w:tcPr>
          <w:p>
            <w:r>
              <w:rPr>
                <w:sz w:val="17"/>
              </w:rPr>
            </w:r>
            <w:r>
              <w:rPr>
                <w:sz w:val="17"/>
              </w:rPr>
              <w:t>الجهة الطالبة للتجربة، ومزوّد قاعدة الضمانات البلدية</w:t>
            </w:r>
          </w:p>
        </w:tc>
        <w:tc>
          <w:tcPr>
            <w:tcW w:type="dxa" w:w="2880"/>
          </w:tcPr>
          <w:p>
            <w:r>
              <w:rPr>
                <w:sz w:val="17"/>
              </w:rPr>
            </w:r>
            <w:r>
              <w:rPr>
                <w:sz w:val="17"/>
              </w:rPr>
              <w:t>MoU؛ حجّة «تخفيف الضغط على الميزانية الإقليمية»</w:t>
            </w:r>
          </w:p>
        </w:tc>
      </w:tr>
      <w:tr>
        <w:tc>
          <w:tcPr>
            <w:tcW w:type="dxa" w:w="2880"/>
          </w:tcPr>
          <w:p>
            <w:r>
              <w:rPr>
                <w:sz w:val="17"/>
              </w:rPr>
            </w:r>
            <w:r>
              <w:rPr>
                <w:b/>
                <w:sz w:val="17"/>
              </w:rPr>
              <w:t>VEB.RF</w:t>
            </w:r>
          </w:p>
        </w:tc>
        <w:tc>
          <w:tcPr>
            <w:tcW w:type="dxa" w:w="2880"/>
          </w:tcPr>
          <w:p>
            <w:r>
              <w:rPr>
                <w:sz w:val="17"/>
              </w:rPr>
            </w:r>
            <w:r>
              <w:rPr>
                <w:sz w:val="17"/>
              </w:rPr>
              <w:t>مصدر التمويل المؤسسي؛ يزيل تضارب التفويض مع بنك روسيا</w:t>
            </w:r>
          </w:p>
        </w:tc>
        <w:tc>
          <w:tcPr>
            <w:tcW w:type="dxa" w:w="2880"/>
          </w:tcPr>
          <w:p>
            <w:r>
              <w:rPr>
                <w:sz w:val="17"/>
              </w:rPr>
            </w:r>
            <w:r>
              <w:rPr>
                <w:sz w:val="17"/>
              </w:rPr>
              <w:t>قناة مباشرة عبر مصنع تمويل المشاريع؛ named sponsor — نائب وزير التنمية الاقتصادية</w:t>
            </w:r>
          </w:p>
        </w:tc>
      </w:tr>
      <w:tr>
        <w:tc>
          <w:tcPr>
            <w:tcW w:type="dxa" w:w="2880"/>
          </w:tcPr>
          <w:p>
            <w:r>
              <w:rPr>
                <w:sz w:val="17"/>
              </w:rPr>
            </w:r>
            <w:r>
              <w:rPr>
                <w:b/>
                <w:sz w:val="17"/>
              </w:rPr>
              <w:t>partner bank</w:t>
            </w:r>
          </w:p>
        </w:tc>
        <w:tc>
          <w:tcPr>
            <w:tcW w:type="dxa" w:w="2880"/>
          </w:tcPr>
          <w:p>
            <w:r>
              <w:rPr>
                <w:sz w:val="17"/>
              </w:rPr>
            </w:r>
            <w:r>
              <w:rPr>
                <w:sz w:val="17"/>
              </w:rPr>
              <w:t>بنك التسوية في التجربة؛ شريك إصدار DFA</w:t>
            </w:r>
          </w:p>
        </w:tc>
        <w:tc>
          <w:tcPr>
            <w:tcW w:type="dxa" w:w="2880"/>
          </w:tcPr>
          <w:p>
            <w:r>
              <w:rPr>
                <w:sz w:val="17"/>
              </w:rPr>
            </w:r>
            <w:r>
              <w:rPr>
                <w:sz w:val="17"/>
              </w:rPr>
              <w:t>MoU بشأن تمويل المشاريع</w:t>
            </w:r>
          </w:p>
        </w:tc>
      </w:tr>
      <w:tr>
        <w:tc>
          <w:tcPr>
            <w:tcW w:type="dxa" w:w="2880"/>
          </w:tcPr>
          <w:p>
            <w:r>
              <w:rPr>
                <w:sz w:val="17"/>
              </w:rPr>
            </w:r>
            <w:r>
              <w:rPr>
                <w:b/>
                <w:sz w:val="17"/>
              </w:rPr>
              <w:t>Atomyze</w:t>
            </w:r>
          </w:p>
        </w:tc>
        <w:tc>
          <w:tcPr>
            <w:tcW w:type="dxa" w:w="2880"/>
          </w:tcPr>
          <w:p>
            <w:r>
              <w:rPr>
                <w:sz w:val="17"/>
              </w:rPr>
            </w:r>
            <w:r>
              <w:rPr>
                <w:sz w:val="17"/>
              </w:rPr>
              <w:t>شراكة تقنية: مشغّل 779-P قائم — مشغِّل الصفقة وفق ترخيصه (ترخيص مشغّل نظام معلومات DFA فردي وغير قابل للنقل، sublease غير ممكن)؛ CPFSR — front-end / وكيل استقطاب وتقييم الضمانات، KYC، البنية التقنية</w:t>
            </w:r>
          </w:p>
        </w:tc>
        <w:tc>
          <w:tcPr>
            <w:tcW w:type="dxa" w:w="2880"/>
          </w:tcPr>
          <w:p>
            <w:r>
              <w:rPr>
                <w:sz w:val="17"/>
              </w:rPr>
            </w:r>
            <w:r>
              <w:rPr>
                <w:sz w:val="17"/>
              </w:rPr>
              <w:t>اتفاق ثنائي للشراكة التقنية؛ توافق DLT؛ تقاسم الوظائف والإيرادات</w:t>
            </w:r>
          </w:p>
        </w:tc>
      </w:tr>
      <w:tr>
        <w:tc>
          <w:tcPr>
            <w:tcW w:type="dxa" w:w="2880"/>
          </w:tcPr>
          <w:p>
            <w:r>
              <w:rPr>
                <w:sz w:val="17"/>
              </w:rPr>
            </w:r>
            <w:r>
              <w:rPr>
                <w:b/>
                <w:sz w:val="17"/>
              </w:rPr>
              <w:t>شركة التأمين</w:t>
            </w:r>
          </w:p>
        </w:tc>
        <w:tc>
          <w:tcPr>
            <w:tcW w:type="dxa" w:w="2880"/>
          </w:tcPr>
          <w:p>
            <w:r>
              <w:rPr>
                <w:sz w:val="17"/>
              </w:rPr>
            </w:r>
            <w:r>
              <w:rPr>
                <w:sz w:val="17"/>
              </w:rPr>
              <w:t>تغطية تجمّع الضمانات</w:t>
            </w:r>
          </w:p>
        </w:tc>
        <w:tc>
          <w:tcPr>
            <w:tcW w:type="dxa" w:w="2880"/>
          </w:tcPr>
          <w:p>
            <w:r>
              <w:rPr>
                <w:sz w:val="17"/>
              </w:rPr>
            </w:r>
            <w:r>
              <w:rPr>
                <w:sz w:val="17"/>
              </w:rPr>
              <w:t>مناقصة بين شركات تأمين مرخَّصة من بنك روسيا</w:t>
            </w:r>
          </w:p>
        </w:tc>
      </w:tr>
      <w:tr>
        <w:tc>
          <w:tcPr>
            <w:tcW w:type="dxa" w:w="2880"/>
          </w:tcPr>
          <w:p>
            <w:r>
              <w:rPr>
                <w:sz w:val="17"/>
              </w:rPr>
            </w:r>
            <w:r>
              <w:rPr>
                <w:b/>
                <w:sz w:val="17"/>
              </w:rPr>
              <w:t>وزارة التنمية الاقتصادية</w:t>
            </w:r>
          </w:p>
        </w:tc>
        <w:tc>
          <w:tcPr>
            <w:tcW w:type="dxa" w:w="2880"/>
          </w:tcPr>
          <w:p>
            <w:r>
              <w:rPr>
                <w:sz w:val="17"/>
              </w:rPr>
            </w:r>
            <w:r>
              <w:rPr>
                <w:sz w:val="17"/>
              </w:rPr>
              <w:t>حليف سياسي (المشاريع الوطنية هي KPI لديهم)</w:t>
            </w:r>
          </w:p>
        </w:tc>
        <w:tc>
          <w:tcPr>
            <w:tcW w:type="dxa" w:w="2880"/>
          </w:tcPr>
          <w:p>
            <w:r>
              <w:rPr>
                <w:sz w:val="17"/>
              </w:rPr>
            </w:r>
            <w:r>
              <w:rPr>
                <w:sz w:val="17"/>
              </w:rPr>
              <w:t>قناة الدخول الرئيسة؛ named sponsor</w:t>
            </w:r>
          </w:p>
        </w:tc>
      </w:tr>
      <w:tr>
        <w:tc>
          <w:tcPr>
            <w:tcW w:type="dxa" w:w="2880"/>
          </w:tcPr>
          <w:p>
            <w:r>
              <w:rPr>
                <w:sz w:val="17"/>
              </w:rPr>
            </w:r>
            <w:r>
              <w:rPr>
                <w:b/>
                <w:sz w:val="17"/>
              </w:rPr>
              <w:t>وزارة المالية</w:t>
            </w:r>
          </w:p>
        </w:tc>
        <w:tc>
          <w:tcPr>
            <w:tcW w:type="dxa" w:w="2880"/>
          </w:tcPr>
          <w:p>
            <w:r>
              <w:rPr>
                <w:sz w:val="17"/>
              </w:rPr>
            </w:r>
            <w:r>
              <w:rPr>
                <w:sz w:val="17"/>
              </w:rPr>
              <w:t>المواءمة الضريبية؛ تخفيف الضغط على سوق OFZ</w:t>
            </w:r>
          </w:p>
        </w:tc>
        <w:tc>
          <w:tcPr>
            <w:tcW w:type="dxa" w:w="2880"/>
          </w:tcPr>
          <w:p>
            <w:r>
              <w:rPr>
                <w:sz w:val="17"/>
              </w:rPr>
            </w:r>
            <w:r>
              <w:rPr>
                <w:sz w:val="17"/>
              </w:rPr>
              <w:t>استفسار وفق المادة 34.2 من قانون الضرائب؛ حجّة «القناة خارج الميزانية»</w:t>
            </w:r>
          </w:p>
        </w:tc>
      </w:tr>
      <w:tr>
        <w:tc>
          <w:tcPr>
            <w:tcW w:type="dxa" w:w="2880"/>
          </w:tcPr>
          <w:p>
            <w:r>
              <w:rPr>
                <w:sz w:val="17"/>
              </w:rPr>
            </w:r>
            <w:r>
              <w:rPr>
                <w:b/>
                <w:sz w:val="17"/>
              </w:rPr>
              <w:t>بنك روسيا (جهة إشراف وفق المادة 4 من 86-FZ)</w:t>
            </w:r>
          </w:p>
        </w:tc>
        <w:tc>
          <w:tcPr>
            <w:tcW w:type="dxa" w:w="2880"/>
          </w:tcPr>
          <w:p>
            <w:r>
              <w:rPr>
                <w:sz w:val="17"/>
              </w:rPr>
            </w:r>
            <w:r>
              <w:rPr>
                <w:sz w:val="17"/>
              </w:rPr>
              <w:t>النظام القانوني التجريبي، سجل مشغّلي نظام معلومات DFA</w:t>
            </w:r>
          </w:p>
        </w:tc>
        <w:tc>
          <w:tcPr>
            <w:tcW w:type="dxa" w:w="2880"/>
          </w:tcPr>
          <w:p>
            <w:r>
              <w:rPr>
                <w:sz w:val="17"/>
              </w:rPr>
            </w:r>
            <w:r>
              <w:rPr>
                <w:sz w:val="17"/>
              </w:rPr>
              <w:t>عبر الموقف الموحَّد بين الإدارات (ليس first call)</w:t>
            </w:r>
          </w:p>
        </w:tc>
      </w:tr>
    </w:tbl>
    <w:p/>
    <w:p>
      <w:pPr>
        <w:pStyle w:val="Heading3"/>
      </w:pPr>
      <w:r>
        <w:t>3.1. خريطة الرعاة (Champion-map) (اسميًا، بنتائج التدقيق التوضيحي 24.05.2026)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الجهة</w:t>
            </w:r>
          </w:p>
        </w:tc>
        <w:tc>
          <w:tcPr>
            <w:tcW w:type="dxa" w:w="2160"/>
          </w:tcPr>
          <w:p>
            <w:r>
              <w:rPr>
                <w:b/>
                <w:sz w:val="17"/>
              </w:rPr>
            </w:r>
            <w:r>
              <w:rPr>
                <w:b/>
                <w:sz w:val="17"/>
              </w:rPr>
              <w:t>الراعي بالاسم</w:t>
            </w:r>
          </w:p>
        </w:tc>
        <w:tc>
          <w:tcPr>
            <w:tcW w:type="dxa" w:w="2160"/>
          </w:tcPr>
          <w:p>
            <w:r>
              <w:rPr>
                <w:b/>
                <w:sz w:val="17"/>
              </w:rPr>
            </w:r>
            <w:r>
              <w:rPr>
                <w:b/>
                <w:sz w:val="17"/>
              </w:rPr>
              <w:t>الدور / المصلحة</w:t>
            </w:r>
          </w:p>
        </w:tc>
        <w:tc>
          <w:tcPr>
            <w:tcW w:type="dxa" w:w="2160"/>
          </w:tcPr>
          <w:p>
            <w:r>
              <w:rPr>
                <w:b/>
                <w:sz w:val="17"/>
              </w:rPr>
            </w:r>
            <w:r>
              <w:rPr>
                <w:b/>
                <w:sz w:val="17"/>
              </w:rPr>
              <w:t>أولوية الاتصال</w:t>
            </w:r>
          </w:p>
        </w:tc>
      </w:tr>
      <w:tr>
        <w:tc>
          <w:tcPr>
            <w:tcW w:type="dxa" w:w="2160"/>
          </w:tcPr>
          <w:p>
            <w:r>
              <w:rPr>
                <w:sz w:val="17"/>
              </w:rPr>
            </w:r>
            <w:r>
              <w:rPr>
                <w:b/>
                <w:sz w:val="17"/>
              </w:rPr>
              <w:t>وزارة التنمية الاقتصادية</w:t>
            </w:r>
          </w:p>
        </w:tc>
        <w:tc>
          <w:tcPr>
            <w:tcW w:type="dxa" w:w="2160"/>
          </w:tcPr>
          <w:p>
            <w:r>
              <w:rPr>
                <w:sz w:val="17"/>
              </w:rPr>
            </w:r>
            <w:r>
              <w:rPr>
                <w:b/>
                <w:sz w:val="17"/>
              </w:rPr>
              <w:t>المسؤول المختص</w:t>
            </w:r>
            <w:r>
              <w:rPr>
                <w:sz w:val="17"/>
              </w:rPr>
              <w:t>، الوزير</w:t>
            </w:r>
          </w:p>
        </w:tc>
        <w:tc>
          <w:tcPr>
            <w:tcW w:type="dxa" w:w="2160"/>
          </w:tcPr>
          <w:p>
            <w:r>
              <w:rPr>
                <w:sz w:val="17"/>
              </w:rPr>
            </w:r>
            <w:r>
              <w:rPr>
                <w:sz w:val="17"/>
              </w:rPr>
              <w:t>الحليف الرئيس: KPI على المشاريع الوطنية، يهتمّ بأدوات تسريع التنفيذ</w:t>
            </w:r>
          </w:p>
        </w:tc>
        <w:tc>
          <w:tcPr>
            <w:tcW w:type="dxa" w:w="2160"/>
          </w:tcPr>
          <w:p>
            <w:r>
              <w:rPr>
                <w:sz w:val="17"/>
              </w:rPr>
            </w:r>
            <w:r>
              <w:rPr>
                <w:sz w:val="17"/>
              </w:rPr>
              <w:t>T+1…T+3 شهرًا (نقطة الدخول الأولى)</w:t>
            </w:r>
          </w:p>
        </w:tc>
      </w:tr>
      <w:tr>
        <w:tc>
          <w:tcPr>
            <w:tcW w:type="dxa" w:w="2160"/>
          </w:tcPr>
          <w:p>
            <w:r>
              <w:rPr>
                <w:sz w:val="17"/>
              </w:rPr>
            </w:r>
            <w:r>
              <w:rPr>
                <w:b/>
                <w:sz w:val="17"/>
              </w:rPr>
              <w:t>وزارة المالية</w:t>
            </w:r>
          </w:p>
        </w:tc>
        <w:tc>
          <w:tcPr>
            <w:tcW w:type="dxa" w:w="2160"/>
          </w:tcPr>
          <w:p>
            <w:r>
              <w:rPr>
                <w:sz w:val="17"/>
              </w:rPr>
            </w:r>
            <w:r>
              <w:rPr>
                <w:b/>
                <w:sz w:val="17"/>
              </w:rPr>
              <w:t>المسؤول المختص</w:t>
            </w:r>
            <w:r>
              <w:rPr>
                <w:sz w:val="17"/>
              </w:rPr>
              <w:t>، نائب الوزير (الدَّين الخارجي وسياسة الدَّين)</w:t>
            </w:r>
          </w:p>
        </w:tc>
        <w:tc>
          <w:tcPr>
            <w:tcW w:type="dxa" w:w="2160"/>
          </w:tcPr>
          <w:p>
            <w:r>
              <w:rPr>
                <w:sz w:val="17"/>
              </w:rPr>
            </w:r>
            <w:r>
              <w:rPr>
                <w:sz w:val="17"/>
              </w:rPr>
              <w:t>قناة خارج الميزانية لتمويل البنية التحتية — تخفيف الضغط على OFZ</w:t>
            </w:r>
          </w:p>
        </w:tc>
        <w:tc>
          <w:tcPr>
            <w:tcW w:type="dxa" w:w="2160"/>
          </w:tcPr>
          <w:p>
            <w:r>
              <w:rPr>
                <w:sz w:val="17"/>
              </w:rPr>
            </w:r>
            <w:r>
              <w:rPr>
                <w:sz w:val="17"/>
              </w:rPr>
              <w:t>T+3…T+6 أشهر</w:t>
            </w:r>
          </w:p>
        </w:tc>
      </w:tr>
      <w:tr>
        <w:tc>
          <w:tcPr>
            <w:tcW w:type="dxa" w:w="2160"/>
          </w:tcPr>
          <w:p>
            <w:r>
              <w:rPr>
                <w:sz w:val="17"/>
              </w:rPr>
            </w:r>
            <w:r>
              <w:rPr>
                <w:b/>
                <w:sz w:val="17"/>
              </w:rPr>
              <w:t>وزارة المالية</w:t>
            </w:r>
          </w:p>
        </w:tc>
        <w:tc>
          <w:tcPr>
            <w:tcW w:type="dxa" w:w="2160"/>
          </w:tcPr>
          <w:p>
            <w:r>
              <w:rPr>
                <w:sz w:val="17"/>
              </w:rPr>
            </w:r>
            <w:r>
              <w:rPr>
                <w:b/>
                <w:sz w:val="17"/>
              </w:rPr>
              <w:t>المسؤول المختص</w:t>
            </w:r>
            <w:r>
              <w:rPr>
                <w:sz w:val="17"/>
              </w:rPr>
              <w:t>، نائب الوزير (السياسة الضريبية)</w:t>
            </w:r>
          </w:p>
        </w:tc>
        <w:tc>
          <w:tcPr>
            <w:tcW w:type="dxa" w:w="2160"/>
          </w:tcPr>
          <w:p>
            <w:r>
              <w:rPr>
                <w:sz w:val="17"/>
              </w:rPr>
            </w:r>
            <w:r>
              <w:rPr>
                <w:sz w:val="17"/>
              </w:rPr>
              <w:t>المواءمة الضريبية على DFA (المادة 34.2 من قانون الضرائب)</w:t>
            </w:r>
          </w:p>
        </w:tc>
        <w:tc>
          <w:tcPr>
            <w:tcW w:type="dxa" w:w="2160"/>
          </w:tcPr>
          <w:p>
            <w:r>
              <w:rPr>
                <w:sz w:val="17"/>
              </w:rPr>
            </w:r>
            <w:r>
              <w:rPr>
                <w:sz w:val="17"/>
              </w:rPr>
              <w:t>T+3…T+6 أشهر</w:t>
            </w:r>
          </w:p>
        </w:tc>
      </w:tr>
      <w:tr>
        <w:tc>
          <w:tcPr>
            <w:tcW w:type="dxa" w:w="2160"/>
          </w:tcPr>
          <w:p>
            <w:r>
              <w:rPr>
                <w:sz w:val="17"/>
              </w:rPr>
            </w:r>
            <w:r>
              <w:rPr>
                <w:b/>
                <w:sz w:val="17"/>
              </w:rPr>
              <w:t>مجلس الدوما</w:t>
            </w:r>
          </w:p>
        </w:tc>
        <w:tc>
          <w:tcPr>
            <w:tcW w:type="dxa" w:w="2160"/>
          </w:tcPr>
          <w:p>
            <w:r>
              <w:rPr>
                <w:sz w:val="17"/>
              </w:rPr>
            </w:r>
            <w:r>
              <w:rPr>
                <w:b/>
                <w:sz w:val="17"/>
              </w:rPr>
              <w:t>المسؤول المختص</w:t>
            </w:r>
            <w:r>
              <w:rPr>
                <w:sz w:val="17"/>
              </w:rPr>
              <w:t>، رئيس لجنة السوق المالية</w:t>
            </w:r>
          </w:p>
        </w:tc>
        <w:tc>
          <w:tcPr>
            <w:tcW w:type="dxa" w:w="2160"/>
          </w:tcPr>
          <w:p>
            <w:r>
              <w:rPr>
                <w:sz w:val="17"/>
              </w:rPr>
            </w:r>
            <w:r>
              <w:rPr>
                <w:sz w:val="17"/>
              </w:rPr>
              <w:t>قناة NPA لطور الأفق (T+24+)؛ دعم استشاري في تفسير 259-FZ</w:t>
            </w:r>
          </w:p>
        </w:tc>
        <w:tc>
          <w:tcPr>
            <w:tcW w:type="dxa" w:w="2160"/>
          </w:tcPr>
          <w:p>
            <w:r>
              <w:rPr>
                <w:sz w:val="17"/>
              </w:rPr>
            </w:r>
            <w:r>
              <w:rPr>
                <w:sz w:val="17"/>
              </w:rPr>
              <w:t>T+6…T+12 شهرًا (للأفق)</w:t>
            </w:r>
          </w:p>
        </w:tc>
      </w:tr>
      <w:tr>
        <w:tc>
          <w:tcPr>
            <w:tcW w:type="dxa" w:w="2160"/>
          </w:tcPr>
          <w:p>
            <w:r>
              <w:rPr>
                <w:sz w:val="17"/>
              </w:rPr>
            </w:r>
            <w:r>
              <w:rPr>
                <w:b/>
                <w:sz w:val="17"/>
              </w:rPr>
              <w:t>VEB.RF</w:t>
            </w:r>
          </w:p>
        </w:tc>
        <w:tc>
          <w:tcPr>
            <w:tcW w:type="dxa" w:w="2160"/>
          </w:tcPr>
          <w:p>
            <w:r>
              <w:rPr>
                <w:sz w:val="17"/>
              </w:rPr>
            </w:r>
            <w:r>
              <w:rPr>
                <w:sz w:val="17"/>
              </w:rPr>
              <w:t>عبر FPF — الإدارات المتخصّصة لمشاريع البنية التحتية؛ LoI / رسالة استشارية</w:t>
            </w:r>
          </w:p>
        </w:tc>
        <w:tc>
          <w:tcPr>
            <w:tcW w:type="dxa" w:w="2160"/>
          </w:tcPr>
          <w:p>
            <w:r>
              <w:rPr>
                <w:sz w:val="17"/>
              </w:rPr>
            </w:r>
            <w:r>
              <w:rPr>
                <w:sz w:val="17"/>
              </w:rPr>
              <w:t>مصدر التمويل المستهدف (مصنع تمويل المشاريع وفق قرار الحكومة رقم 158)</w:t>
            </w:r>
          </w:p>
        </w:tc>
        <w:tc>
          <w:tcPr>
            <w:tcW w:type="dxa" w:w="2160"/>
          </w:tcPr>
          <w:p>
            <w:r>
              <w:rPr>
                <w:sz w:val="17"/>
              </w:rPr>
            </w:r>
            <w:r>
              <w:rPr>
                <w:sz w:val="17"/>
              </w:rPr>
              <w:t>T+3…T+6 أشهر</w:t>
            </w:r>
          </w:p>
        </w:tc>
      </w:tr>
      <w:tr>
        <w:tc>
          <w:tcPr>
            <w:tcW w:type="dxa" w:w="2160"/>
          </w:tcPr>
          <w:p>
            <w:r>
              <w:rPr>
                <w:sz w:val="17"/>
              </w:rPr>
            </w:r>
            <w:r>
              <w:rPr>
                <w:b/>
                <w:sz w:val="17"/>
              </w:rPr>
              <w:t>الحكومات الإقليمية (التجربة)</w:t>
            </w:r>
          </w:p>
        </w:tc>
        <w:tc>
          <w:tcPr>
            <w:tcW w:type="dxa" w:w="2160"/>
          </w:tcPr>
          <w:p>
            <w:r>
              <w:rPr>
                <w:sz w:val="17"/>
              </w:rPr>
            </w:r>
            <w:r>
              <w:rPr>
                <w:b/>
                <w:sz w:val="17"/>
              </w:rPr>
              <w:t>تتارستان</w:t>
            </w:r>
            <w:r>
              <w:rPr>
                <w:sz w:val="17"/>
              </w:rPr>
              <w:t xml:space="preserve"> — رستم المسؤول المختص / رستم المسؤول المختص (التحوّل الرقمي)؛ </w:t>
            </w:r>
            <w:r>
              <w:rPr>
                <w:b/>
                <w:sz w:val="17"/>
              </w:rPr>
              <w:t>تيومين</w:t>
            </w:r>
            <w:r>
              <w:rPr>
                <w:sz w:val="17"/>
              </w:rPr>
              <w:t xml:space="preserve"> — المسؤول المختص؛ </w:t>
            </w:r>
            <w:r>
              <w:rPr>
                <w:b/>
                <w:sz w:val="17"/>
              </w:rPr>
              <w:t>باشكورتوستان</w:t>
            </w:r>
            <w:r>
              <w:rPr>
                <w:sz w:val="17"/>
              </w:rPr>
              <w:t xml:space="preserve"> — خيار احتياطي</w:t>
            </w:r>
          </w:p>
        </w:tc>
        <w:tc>
          <w:tcPr>
            <w:tcW w:type="dxa" w:w="2160"/>
          </w:tcPr>
          <w:p>
            <w:r>
              <w:rPr>
                <w:sz w:val="17"/>
              </w:rPr>
            </w:r>
            <w:r>
              <w:rPr>
                <w:sz w:val="17"/>
              </w:rPr>
              <w:t>مزوّدو قاعدة الضمانات البلدية؛ الإرادة السياسية للتجربة</w:t>
            </w:r>
          </w:p>
        </w:tc>
        <w:tc>
          <w:tcPr>
            <w:tcW w:type="dxa" w:w="2160"/>
          </w:tcPr>
          <w:p>
            <w:r>
              <w:rPr>
                <w:sz w:val="17"/>
              </w:rPr>
            </w:r>
            <w:r>
              <w:rPr>
                <w:sz w:val="17"/>
              </w:rPr>
              <w:t>T+6…T+9 أشهر (عبر MoU)</w:t>
            </w:r>
          </w:p>
        </w:tc>
      </w:tr>
      <w:tr>
        <w:tc>
          <w:tcPr>
            <w:tcW w:type="dxa" w:w="2160"/>
          </w:tcPr>
          <w:p>
            <w:r>
              <w:rPr>
                <w:sz w:val="17"/>
              </w:rPr>
            </w:r>
            <w:r>
              <w:rPr>
                <w:b/>
                <w:sz w:val="17"/>
              </w:rPr>
              <w:t>بنك روسيا (لطور الأفق)</w:t>
            </w:r>
          </w:p>
        </w:tc>
        <w:tc>
          <w:tcPr>
            <w:tcW w:type="dxa" w:w="2160"/>
          </w:tcPr>
          <w:p>
            <w:r>
              <w:rPr>
                <w:sz w:val="17"/>
              </w:rPr>
            </w:r>
            <w:r>
              <w:rPr>
                <w:sz w:val="17"/>
              </w:rPr>
              <w:t>عبر الموقف الموحَّد بين الإدارات: وزارة التنمية الاقتصادية + وزارة المالية + مجلس الدوما</w:t>
            </w:r>
          </w:p>
        </w:tc>
        <w:tc>
          <w:tcPr>
            <w:tcW w:type="dxa" w:w="2160"/>
          </w:tcPr>
          <w:p>
            <w:r>
              <w:rPr>
                <w:sz w:val="17"/>
              </w:rPr>
            </w:r>
            <w:r>
              <w:rPr>
                <w:sz w:val="17"/>
              </w:rPr>
              <w:t>إدراج مؤسّسة الإصدار المستهدف في خريطة الطريق عند T+24+</w:t>
            </w:r>
          </w:p>
        </w:tc>
        <w:tc>
          <w:tcPr>
            <w:tcW w:type="dxa" w:w="2160"/>
          </w:tcPr>
          <w:p>
            <w:r>
              <w:rPr>
                <w:sz w:val="17"/>
              </w:rPr>
            </w:r>
            <w:r>
              <w:rPr>
                <w:sz w:val="17"/>
              </w:rPr>
              <w:t>فقط بعد سجل أعمال wedge ≥ 12 شهرًا</w:t>
            </w:r>
          </w:p>
        </w:tc>
      </w:tr>
    </w:tbl>
    <w:p/>
    <w:p>
      <w:pPr>
        <w:pStyle w:val="Heading2"/>
      </w:pPr>
      <w:r>
        <w:t>4. خطوات إطلاق الـ wedge-pilot</w:t>
      </w:r>
    </w:p>
    <w:p>
      <w:pPr>
        <w:pStyle w:val="Heading3"/>
      </w:pPr>
      <w:r>
        <w:t>المرحلة 0 — التحضيرية (T+0…T+3 أشهر)</w:t>
      </w:r>
    </w:p>
    <w:p>
      <w:pPr>
        <w:pStyle w:val="ListNumber"/>
      </w:pPr>
      <w:r>
        <w:t xml:space="preserve">تأسيس JSC «CPFSR» (انظر </w:t>
      </w:r>
      <w:r>
        <w:rPr>
          <w:rFonts w:ascii="Consolas" w:hAnsi="Consolas"/>
          <w:sz w:val="18"/>
        </w:rPr>
        <w:t>02_Юридический_фундамент/Учреждение_АО_оператора_и_РКН.md</w:t>
      </w:r>
      <w:r>
        <w:t>).</w:t>
      </w:r>
    </w:p>
    <w:p>
      <w:pPr>
        <w:pStyle w:val="ListNumber"/>
      </w:pPr>
      <w:r>
        <w:t>تعيين المسؤولين وفق 779-P.</w:t>
      </w:r>
    </w:p>
    <w:p>
      <w:pPr>
        <w:pStyle w:val="ListNumber"/>
      </w:pPr>
      <w:r>
        <w:t>تقديم لـ Rospatent / Roskomnadzor / Rosfinmonitoring.</w:t>
      </w:r>
    </w:p>
    <w:p>
      <w:pPr>
        <w:pStyle w:val="Heading3"/>
      </w:pPr>
      <w:r>
        <w:t>المرحلة 1 — Memo wrapper وchampion search (T+3…T+9 أشهر)</w:t>
      </w:r>
    </w:p>
    <w:p>
      <w:pPr>
        <w:pStyle w:val="ListNumber"/>
      </w:pPr>
      <w:r>
        <w:rPr>
          <w:b/>
        </w:rPr>
        <w:t>Memo wrapper لوزارة التنمية الاقتصادية / ديوان الحكومة:</w:t>
      </w:r>
      <w:r>
        <w:t xml:space="preserve"> التموضع كأداة لتسريع المشاريع الوطنية (لا كإصلاح نقدي). الصياغة: «تمويل مستهدف عبر البنية التحتية المؤسسية لـ VEB.RF / الخزانة الفيدرالية، وبنك روسيا في دور المنظِّم الإشرافي».</w:t>
      </w:r>
    </w:p>
    <w:p>
      <w:pPr>
        <w:pStyle w:val="ListNumber"/>
      </w:pPr>
      <w:r>
        <w:rPr>
          <w:b/>
        </w:rPr>
        <w:t>Champion search:</w:t>
      </w:r>
      <w:r>
        <w:t xml:space="preserve"> إيجاد حامل سياسي (نائب وزير وزارة التنمية الاقتصادية / مستشار رئيس الحكومة). دون champion لا يتحرّك المشروع.</w:t>
      </w:r>
    </w:p>
    <w:p>
      <w:pPr>
        <w:pStyle w:val="ListNumber"/>
      </w:pPr>
      <w:r>
        <w:rPr>
          <w:b/>
        </w:rPr>
        <w:t>MoU مع بنك واحد</w:t>
      </w:r>
      <w:r>
        <w:t xml:space="preserve"> (partner bank أو reserve partner bank) وشركة تأمين واحدة.</w:t>
      </w:r>
    </w:p>
    <w:p>
      <w:pPr>
        <w:pStyle w:val="ListNumber"/>
      </w:pPr>
      <w:r>
        <w:rPr>
          <w:b/>
        </w:rPr>
        <w:t>MoU مع الإقليم التجريبي</w:t>
      </w:r>
      <w:r>
        <w:t xml:space="preserve"> (اختيار تتارستان / تيومين).</w:t>
      </w:r>
    </w:p>
    <w:p>
      <w:pPr>
        <w:pStyle w:val="Heading3"/>
      </w:pPr>
      <w:r>
        <w:t>المرحلة 2 — التراخيص التنظيمية (T+9…T+15 شهرًا)</w:t>
      </w:r>
    </w:p>
    <w:p>
      <w:pPr>
        <w:pStyle w:val="ListNumber"/>
      </w:pPr>
      <w:r>
        <w:rPr>
          <w:b/>
        </w:rPr>
        <w:t>طلب الإدراج في سجل مشغّلي نظام معلومات DFA</w:t>
      </w:r>
      <w:r>
        <w:t xml:space="preserve"> لدى بنك روسيا (779-P).</w:t>
      </w:r>
    </w:p>
    <w:p>
      <w:pPr>
        <w:pStyle w:val="ListNumber"/>
      </w:pPr>
      <w:r>
        <w:rPr>
          <w:b/>
        </w:rPr>
        <w:t>طلب الدخول إلى النظام القانوني التجريبي</w:t>
      </w:r>
      <w:r>
        <w:t xml:space="preserve"> لبنك روسيا (258-FZ).</w:t>
      </w:r>
    </w:p>
    <w:p>
      <w:pPr>
        <w:pStyle w:val="ListNumber"/>
      </w:pPr>
      <w:r>
        <w:rPr>
          <w:b/>
        </w:rPr>
        <w:t>اعتماد قواعد نظام المعلومات</w:t>
      </w:r>
      <w:r>
        <w:t xml:space="preserve"> (المادة 6 من 259-FZ).</w:t>
      </w:r>
    </w:p>
    <w:p>
      <w:pPr>
        <w:pStyle w:val="ListNumber"/>
      </w:pPr>
      <w:r>
        <w:rPr>
          <w:b/>
        </w:rPr>
        <w:t>الحصول على الاعتمادات القطاعية</w:t>
      </w:r>
      <w:r>
        <w:t xml:space="preserve"> FSTEC / FSB.</w:t>
      </w:r>
    </w:p>
    <w:p>
      <w:pPr>
        <w:pStyle w:val="ListNumber"/>
      </w:pPr>
      <w:r>
        <w:rPr>
          <w:b/>
        </w:rPr>
        <w:t>رأي وزارة المالية</w:t>
      </w:r>
      <w:r>
        <w:t xml:space="preserve"> بشأن الموقف الضريبي (المادة 34.2 من قانون الضرائب).</w:t>
      </w:r>
    </w:p>
    <w:p>
      <w:pPr>
        <w:pStyle w:val="Heading3"/>
      </w:pPr>
      <w:r>
        <w:t>المرحلة 3 — طور التجربة (T+15…T+24 شهرًا)</w:t>
      </w:r>
    </w:p>
    <w:p>
      <w:pPr>
        <w:pStyle w:val="ListNumber"/>
      </w:pPr>
      <w:r>
        <w:rPr>
          <w:b/>
        </w:rPr>
        <w:t>ربط القاعدة البلدية للإقليم التجريبي</w:t>
      </w:r>
      <w:r>
        <w:t xml:space="preserve"> (50–100 منشأة).</w:t>
      </w:r>
    </w:p>
    <w:p>
      <w:pPr>
        <w:pStyle w:val="ListNumber"/>
      </w:pPr>
      <w:r>
        <w:rPr>
          <w:b/>
        </w:rPr>
        <w:t>الدورة الأولى لإصدار DFA مستهدفة</w:t>
      </w:r>
      <w:r>
        <w:t xml:space="preserve"> على أساس تجمّع الضمانات البلدية.</w:t>
      </w:r>
    </w:p>
    <w:p>
      <w:pPr>
        <w:pStyle w:val="ListNumber"/>
      </w:pPr>
      <w:r>
        <w:rPr>
          <w:b/>
        </w:rPr>
        <w:t>تمويل مستهدف عبر VEB.RF</w:t>
      </w:r>
      <w:r>
        <w:t xml:space="preserve"> (مصنع تمويل المشاريع) بضمانات إقليمية.</w:t>
      </w:r>
    </w:p>
    <w:p>
      <w:pPr>
        <w:pStyle w:val="ListNumber"/>
      </w:pPr>
      <w:r>
        <w:rPr>
          <w:b/>
        </w:rPr>
        <w:t>تمويل مشروع وطني</w:t>
      </w:r>
      <w:r>
        <w:t xml:space="preserve"> (مثلًا، تجديد منشآت الخدمات أو إنشاء إسكان اجتماعي).</w:t>
      </w:r>
    </w:p>
    <w:p>
      <w:pPr>
        <w:pStyle w:val="ListNumber"/>
      </w:pPr>
      <w:r>
        <w:rPr>
          <w:b/>
        </w:rPr>
        <w:t>محاسبة العمليات</w:t>
      </w:r>
      <w:r>
        <w:t xml:space="preserve"> ضمن البنية القانونية القائمة (دون تعديل 86-FZ).</w:t>
      </w:r>
    </w:p>
    <w:p>
      <w:pPr>
        <w:pStyle w:val="Heading3"/>
      </w:pPr>
      <w:r>
        <w:t>المرحلة 4 — التوسّع (T+24…T+36 شهرًا)</w:t>
      </w:r>
    </w:p>
    <w:p>
      <w:pPr>
        <w:pStyle w:val="ListNumber"/>
      </w:pPr>
      <w:r>
        <w:rPr>
          <w:b/>
        </w:rPr>
        <w:t>التوسّع إلى 3–5 أقاليم</w:t>
      </w:r>
      <w:r>
        <w:t xml:space="preserve"> (تكرار النموذج).</w:t>
      </w:r>
    </w:p>
    <w:p>
      <w:pPr>
        <w:pStyle w:val="ListNumber"/>
      </w:pPr>
      <w:r>
        <w:rPr>
          <w:b/>
        </w:rPr>
        <w:t>ضمّ فئة ثانية من الضمانات</w:t>
      </w:r>
      <w:r>
        <w:t xml:space="preserve"> (عقارات تجارية إقليمية).</w:t>
      </w:r>
    </w:p>
    <w:p>
      <w:pPr>
        <w:pStyle w:val="ListNumber"/>
      </w:pPr>
      <w:r>
        <w:rPr>
          <w:b/>
        </w:rPr>
        <w:t>ربط بنك شريك ثانٍ</w:t>
      </w:r>
      <w:r>
        <w:t xml:space="preserve"> (التنويع).</w:t>
      </w:r>
    </w:p>
    <w:p>
      <w:pPr>
        <w:pStyle w:val="ListNumber"/>
      </w:pPr>
      <w:r>
        <w:rPr>
          <w:b/>
        </w:rPr>
        <w:t>ربط شركة تأمين ثانية</w:t>
      </w:r>
      <w:r>
        <w:t>.</w:t>
      </w:r>
    </w:p>
    <w:p>
      <w:pPr>
        <w:pStyle w:val="ListNumber"/>
      </w:pPr>
      <w:r>
        <w:rPr>
          <w:b/>
        </w:rPr>
        <w:t>إعداد الموقف الموحَّد بين الإدارات</w:t>
      </w:r>
      <w:r>
        <w:t xml:space="preserve"> (بنك روسيا + وزارة المالية + وزارة التنمية الاقتصادية + VEB.RF) للدخول الأفقي إلى بنك روسيا ببنية التمويل المستهدف.</w:t>
      </w:r>
    </w:p>
    <w:p>
      <w:pPr>
        <w:pStyle w:val="Heading3"/>
      </w:pPr>
      <w:r>
        <w:t>المرحلة 5 — طور الأفق (T+36+ شهرًا)</w:t>
      </w:r>
    </w:p>
    <w:p>
      <w:pPr>
        <w:pStyle w:val="ListNumber"/>
      </w:pPr>
      <w:r>
        <w:t xml:space="preserve">على أساس سجل wedge المتراكم 18–24 شهرًا — </w:t>
      </w:r>
      <w:r>
        <w:rPr>
          <w:b/>
        </w:rPr>
        <w:t>الدخول إلى بنك روسيا بالموقف الموحَّد بين الإدارات</w:t>
      </w:r>
      <w:r>
        <w:t>.</w:t>
      </w:r>
    </w:p>
    <w:p>
      <w:pPr>
        <w:pStyle w:val="ListNumber"/>
      </w:pPr>
      <w:r>
        <w:t>lobby لحزمة 4 قوانين اتحادية (86-FZ، 259-FZ، قانون الميزانية، القانون المدني) — وزارة التطوير الرقمي + وزارة المالية + بنك روسيا + وزارة التنمية الاقتصادية.</w:t>
      </w:r>
    </w:p>
    <w:p>
      <w:pPr>
        <w:pStyle w:val="ListNumber"/>
      </w:pPr>
      <w:r>
        <w:t>لوائح فرعية، توجيه من بنك روسيا، أمر مشترك من وزارة المالية / بنك روسيا / وزارة التطوير الرقمي / Rosreestr / الخزانة الفيدرالية.</w:t>
      </w:r>
    </w:p>
    <w:p>
      <w:pPr>
        <w:pStyle w:val="ListNumber"/>
      </w:pPr>
      <w:r>
        <w:t>الإطلاق الكامل ببنية التمويل المستهدف.</w:t>
      </w:r>
    </w:p>
    <w:p>
      <w:pPr>
        <w:pStyle w:val="Heading2"/>
      </w:pPr>
      <w:r>
        <w:t>5. المنطق المالي للـ wedge-pilot</w:t>
      </w:r>
    </w:p>
    <w:p>
      <w:pPr>
        <w:pStyle w:val="Heading3"/>
      </w:pPr>
      <w:r>
        <w:t>5.1. Unit-economy للتجربة في السنة 1 (2027)</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المؤشّر</w:t>
            </w:r>
          </w:p>
        </w:tc>
        <w:tc>
          <w:tcPr>
            <w:tcW w:type="dxa" w:w="4320"/>
          </w:tcPr>
          <w:p>
            <w:r>
              <w:rPr>
                <w:b/>
                <w:sz w:val="17"/>
              </w:rPr>
            </w:r>
            <w:r>
              <w:rPr>
                <w:b/>
                <w:sz w:val="17"/>
              </w:rPr>
              <w:t>القيمة</w:t>
            </w:r>
          </w:p>
        </w:tc>
      </w:tr>
      <w:tr>
        <w:tc>
          <w:tcPr>
            <w:tcW w:type="dxa" w:w="4320"/>
          </w:tcPr>
          <w:p>
            <w:r>
              <w:rPr>
                <w:sz w:val="17"/>
              </w:rPr>
            </w:r>
            <w:r>
              <w:rPr>
                <w:sz w:val="17"/>
              </w:rPr>
              <w:t>تجمّع الضمانات</w:t>
            </w:r>
          </w:p>
        </w:tc>
        <w:tc>
          <w:tcPr>
            <w:tcW w:type="dxa" w:w="4320"/>
          </w:tcPr>
          <w:p>
            <w:r>
              <w:rPr>
                <w:sz w:val="17"/>
              </w:rPr>
            </w:r>
            <w:r>
              <w:rPr>
                <w:sz w:val="17"/>
              </w:rPr>
              <w:t xml:space="preserve">50 منشأة × 100 مليون ₽ = </w:t>
            </w:r>
            <w:r>
              <w:rPr>
                <w:b/>
                <w:sz w:val="17"/>
              </w:rPr>
              <w:t>5 مليار ₽</w:t>
            </w:r>
          </w:p>
        </w:tc>
      </w:tr>
      <w:tr>
        <w:tc>
          <w:tcPr>
            <w:tcW w:type="dxa" w:w="4320"/>
          </w:tcPr>
          <w:p>
            <w:r>
              <w:rPr>
                <w:sz w:val="17"/>
              </w:rPr>
            </w:r>
            <w:r>
              <w:rPr>
                <w:sz w:val="17"/>
              </w:rPr>
              <w:t>DFA المُصدرة</w:t>
            </w:r>
          </w:p>
        </w:tc>
        <w:tc>
          <w:tcPr>
            <w:tcW w:type="dxa" w:w="4320"/>
          </w:tcPr>
          <w:p>
            <w:r>
              <w:rPr>
                <w:sz w:val="17"/>
              </w:rPr>
            </w:r>
            <w:r>
              <w:rPr>
                <w:sz w:val="17"/>
              </w:rPr>
              <w:t>5 مليار ₽ اسمي</w:t>
            </w:r>
          </w:p>
        </w:tc>
      </w:tr>
      <w:tr>
        <w:tc>
          <w:tcPr>
            <w:tcW w:type="dxa" w:w="4320"/>
          </w:tcPr>
          <w:p>
            <w:r>
              <w:rPr>
                <w:sz w:val="17"/>
              </w:rPr>
            </w:r>
            <w:r>
              <w:rPr>
                <w:sz w:val="17"/>
              </w:rPr>
              <w:t>عمولة الإصدار (0.5 %)</w:t>
            </w:r>
          </w:p>
        </w:tc>
        <w:tc>
          <w:tcPr>
            <w:tcW w:type="dxa" w:w="4320"/>
          </w:tcPr>
          <w:p>
            <w:r>
              <w:rPr>
                <w:sz w:val="17"/>
              </w:rPr>
            </w:r>
            <w:r>
              <w:rPr>
                <w:sz w:val="17"/>
              </w:rPr>
              <w:t>25 مليون ₽</w:t>
            </w:r>
          </w:p>
        </w:tc>
      </w:tr>
      <w:tr>
        <w:tc>
          <w:tcPr>
            <w:tcW w:type="dxa" w:w="4320"/>
          </w:tcPr>
          <w:p>
            <w:r>
              <w:rPr>
                <w:sz w:val="17"/>
              </w:rPr>
            </w:r>
            <w:r>
              <w:rPr>
                <w:sz w:val="17"/>
              </w:rPr>
              <w:t>عمولة الخدمة السنوية (0.3 % من stack)</w:t>
            </w:r>
          </w:p>
        </w:tc>
        <w:tc>
          <w:tcPr>
            <w:tcW w:type="dxa" w:w="4320"/>
          </w:tcPr>
          <w:p>
            <w:r>
              <w:rPr>
                <w:sz w:val="17"/>
              </w:rPr>
            </w:r>
            <w:r>
              <w:rPr>
                <w:sz w:val="17"/>
              </w:rPr>
              <w:t>15 مليون ₽</w:t>
            </w:r>
          </w:p>
        </w:tc>
      </w:tr>
      <w:tr>
        <w:tc>
          <w:tcPr>
            <w:tcW w:type="dxa" w:w="4320"/>
          </w:tcPr>
          <w:p>
            <w:r>
              <w:rPr>
                <w:sz w:val="17"/>
              </w:rPr>
            </w:r>
            <w:r>
              <w:rPr>
                <w:sz w:val="17"/>
              </w:rPr>
              <w:t>رسم المنصة على التقييم/التأمين (0.15 %)</w:t>
            </w:r>
          </w:p>
        </w:tc>
        <w:tc>
          <w:tcPr>
            <w:tcW w:type="dxa" w:w="4320"/>
          </w:tcPr>
          <w:p>
            <w:r>
              <w:rPr>
                <w:sz w:val="17"/>
              </w:rPr>
            </w:r>
            <w:r>
              <w:rPr>
                <w:sz w:val="17"/>
              </w:rPr>
              <w:t>7.5 مليون ₽</w:t>
            </w:r>
          </w:p>
        </w:tc>
      </w:tr>
      <w:tr>
        <w:tc>
          <w:tcPr>
            <w:tcW w:type="dxa" w:w="4320"/>
          </w:tcPr>
          <w:p>
            <w:r>
              <w:rPr>
                <w:sz w:val="17"/>
              </w:rPr>
            </w:r>
            <w:r>
              <w:rPr>
                <w:sz w:val="17"/>
              </w:rPr>
              <w:t>خدمات التقييم (0.8 % من الحجم)</w:t>
            </w:r>
          </w:p>
        </w:tc>
        <w:tc>
          <w:tcPr>
            <w:tcW w:type="dxa" w:w="4320"/>
          </w:tcPr>
          <w:p>
            <w:r>
              <w:rPr>
                <w:sz w:val="17"/>
              </w:rPr>
            </w:r>
            <w:r>
              <w:rPr>
                <w:sz w:val="17"/>
              </w:rPr>
              <w:t>40 مليون ₽</w:t>
            </w:r>
          </w:p>
        </w:tc>
      </w:tr>
      <w:tr>
        <w:tc>
          <w:tcPr>
            <w:tcW w:type="dxa" w:w="4320"/>
          </w:tcPr>
          <w:p>
            <w:r>
              <w:rPr>
                <w:sz w:val="17"/>
              </w:rPr>
            </w:r>
            <w:r>
              <w:rPr>
                <w:b/>
                <w:sz w:val="17"/>
              </w:rPr>
              <w:t>الإيراد الكامل للسنة 1</w:t>
            </w:r>
          </w:p>
        </w:tc>
        <w:tc>
          <w:tcPr>
            <w:tcW w:type="dxa" w:w="4320"/>
          </w:tcPr>
          <w:p>
            <w:r>
              <w:rPr>
                <w:sz w:val="17"/>
              </w:rPr>
            </w:r>
            <w:r>
              <w:rPr>
                <w:b/>
                <w:sz w:val="17"/>
              </w:rPr>
              <w:t>≈ 87.5 مليون ₽</w:t>
            </w:r>
          </w:p>
        </w:tc>
      </w:tr>
      <w:tr>
        <w:tc>
          <w:tcPr>
            <w:tcW w:type="dxa" w:w="4320"/>
          </w:tcPr>
          <w:p>
            <w:r>
              <w:rPr>
                <w:sz w:val="17"/>
              </w:rPr>
            </w:r>
            <w:r>
              <w:rPr>
                <w:sz w:val="17"/>
              </w:rPr>
              <w:t>OpEx للسنة 1</w:t>
            </w:r>
          </w:p>
        </w:tc>
        <w:tc>
          <w:tcPr>
            <w:tcW w:type="dxa" w:w="4320"/>
          </w:tcPr>
          <w:p>
            <w:r>
              <w:rPr>
                <w:sz w:val="17"/>
              </w:rPr>
            </w:r>
            <w:r>
              <w:rPr>
                <w:sz w:val="17"/>
              </w:rPr>
              <w:t>70 مليون ₽</w:t>
            </w:r>
          </w:p>
        </w:tc>
      </w:tr>
      <w:tr>
        <w:tc>
          <w:tcPr>
            <w:tcW w:type="dxa" w:w="4320"/>
          </w:tcPr>
          <w:p>
            <w:r>
              <w:rPr>
                <w:sz w:val="17"/>
              </w:rPr>
            </w:r>
            <w:r>
              <w:rPr>
                <w:sz w:val="17"/>
              </w:rPr>
              <w:t>EBITDA للسنة 1</w:t>
            </w:r>
          </w:p>
        </w:tc>
        <w:tc>
          <w:tcPr>
            <w:tcW w:type="dxa" w:w="4320"/>
          </w:tcPr>
          <w:p>
            <w:r>
              <w:rPr>
                <w:sz w:val="17"/>
              </w:rPr>
            </w:r>
            <w:r>
              <w:rPr>
                <w:sz w:val="17"/>
              </w:rPr>
              <w:t>17.5 مليون ₽</w:t>
            </w:r>
          </w:p>
        </w:tc>
      </w:tr>
      <w:tr>
        <w:tc>
          <w:tcPr>
            <w:tcW w:type="dxa" w:w="4320"/>
          </w:tcPr>
          <w:p>
            <w:r>
              <w:rPr>
                <w:sz w:val="17"/>
              </w:rPr>
            </w:r>
            <w:r>
              <w:rPr>
                <w:b/>
                <w:sz w:val="17"/>
              </w:rPr>
              <w:t>هامش EBITDA للسنة 1</w:t>
            </w:r>
          </w:p>
        </w:tc>
        <w:tc>
          <w:tcPr>
            <w:tcW w:type="dxa" w:w="4320"/>
          </w:tcPr>
          <w:p>
            <w:r>
              <w:rPr>
                <w:sz w:val="17"/>
              </w:rPr>
            </w:r>
            <w:r>
              <w:rPr>
                <w:b/>
                <w:sz w:val="17"/>
              </w:rPr>
              <w:t>20 %</w:t>
            </w:r>
          </w:p>
        </w:tc>
      </w:tr>
    </w:tbl>
    <w:p/>
    <w:p>
      <w:pPr>
        <w:pStyle w:val="Heading3"/>
      </w:pPr>
      <w:r>
        <w:t>5.2. التوسّع التجريبي</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السنة</w:t>
            </w:r>
          </w:p>
        </w:tc>
        <w:tc>
          <w:tcPr>
            <w:tcW w:type="dxa" w:w="1728"/>
          </w:tcPr>
          <w:p>
            <w:r>
              <w:rPr>
                <w:b/>
                <w:sz w:val="17"/>
              </w:rPr>
            </w:r>
            <w:r>
              <w:rPr>
                <w:b/>
                <w:sz w:val="17"/>
              </w:rPr>
              <w:t>الأقاليم</w:t>
            </w:r>
          </w:p>
        </w:tc>
        <w:tc>
          <w:tcPr>
            <w:tcW w:type="dxa" w:w="1728"/>
          </w:tcPr>
          <w:p>
            <w:r>
              <w:rPr>
                <w:b/>
                <w:sz w:val="17"/>
              </w:rPr>
            </w:r>
            <w:r>
              <w:rPr>
                <w:b/>
                <w:sz w:val="17"/>
              </w:rPr>
              <w:t>تجمّع الضمانات، مليار ₽</w:t>
            </w:r>
          </w:p>
        </w:tc>
        <w:tc>
          <w:tcPr>
            <w:tcW w:type="dxa" w:w="1728"/>
          </w:tcPr>
          <w:p>
            <w:r>
              <w:rPr>
                <w:b/>
                <w:sz w:val="17"/>
              </w:rPr>
            </w:r>
            <w:r>
              <w:rPr>
                <w:b/>
                <w:sz w:val="17"/>
              </w:rPr>
              <w:t>الإيراد، مليار ₽</w:t>
            </w:r>
          </w:p>
        </w:tc>
        <w:tc>
          <w:tcPr>
            <w:tcW w:type="dxa" w:w="1728"/>
          </w:tcPr>
          <w:p>
            <w:r>
              <w:rPr>
                <w:b/>
                <w:sz w:val="17"/>
              </w:rPr>
            </w:r>
            <w:r>
              <w:rPr>
                <w:b/>
                <w:sz w:val="17"/>
              </w:rPr>
              <w:t>هامش EBITDA</w:t>
            </w:r>
          </w:p>
        </w:tc>
      </w:tr>
      <w:tr>
        <w:tc>
          <w:tcPr>
            <w:tcW w:type="dxa" w:w="1728"/>
          </w:tcPr>
          <w:p>
            <w:r>
              <w:rPr>
                <w:sz w:val="17"/>
              </w:rPr>
            </w:r>
            <w:r>
              <w:rPr>
                <w:sz w:val="17"/>
              </w:rPr>
              <w:t>2027 (تجربة)</w:t>
            </w:r>
          </w:p>
        </w:tc>
        <w:tc>
          <w:tcPr>
            <w:tcW w:type="dxa" w:w="1728"/>
          </w:tcPr>
          <w:p>
            <w:r>
              <w:rPr>
                <w:sz w:val="17"/>
              </w:rPr>
            </w:r>
            <w:r>
              <w:rPr>
                <w:sz w:val="17"/>
              </w:rPr>
              <w:t>1</w:t>
            </w:r>
          </w:p>
        </w:tc>
        <w:tc>
          <w:tcPr>
            <w:tcW w:type="dxa" w:w="1728"/>
          </w:tcPr>
          <w:p>
            <w:r>
              <w:rPr>
                <w:sz w:val="17"/>
              </w:rPr>
            </w:r>
            <w:r>
              <w:rPr>
                <w:sz w:val="17"/>
              </w:rPr>
              <w:t>5</w:t>
            </w:r>
          </w:p>
        </w:tc>
        <w:tc>
          <w:tcPr>
            <w:tcW w:type="dxa" w:w="1728"/>
          </w:tcPr>
          <w:p>
            <w:r>
              <w:rPr>
                <w:sz w:val="17"/>
              </w:rPr>
            </w:r>
            <w:r>
              <w:rPr>
                <w:sz w:val="17"/>
              </w:rPr>
              <w:t>0.09</w:t>
            </w:r>
          </w:p>
        </w:tc>
        <w:tc>
          <w:tcPr>
            <w:tcW w:type="dxa" w:w="1728"/>
          </w:tcPr>
          <w:p>
            <w:r>
              <w:rPr>
                <w:sz w:val="17"/>
              </w:rPr>
            </w:r>
            <w:r>
              <w:rPr>
                <w:sz w:val="17"/>
              </w:rPr>
              <w:t>20 %</w:t>
            </w:r>
          </w:p>
        </w:tc>
      </w:tr>
      <w:tr>
        <w:tc>
          <w:tcPr>
            <w:tcW w:type="dxa" w:w="1728"/>
          </w:tcPr>
          <w:p>
            <w:r>
              <w:rPr>
                <w:sz w:val="17"/>
              </w:rPr>
            </w:r>
            <w:r>
              <w:rPr>
                <w:sz w:val="17"/>
              </w:rPr>
              <w:t>2028 (توسّع)</w:t>
            </w:r>
          </w:p>
        </w:tc>
        <w:tc>
          <w:tcPr>
            <w:tcW w:type="dxa" w:w="1728"/>
          </w:tcPr>
          <w:p>
            <w:r>
              <w:rPr>
                <w:sz w:val="17"/>
              </w:rPr>
            </w:r>
            <w:r>
              <w:rPr>
                <w:sz w:val="17"/>
              </w:rPr>
              <w:t>3</w:t>
            </w:r>
          </w:p>
        </w:tc>
        <w:tc>
          <w:tcPr>
            <w:tcW w:type="dxa" w:w="1728"/>
          </w:tcPr>
          <w:p>
            <w:r>
              <w:rPr>
                <w:sz w:val="17"/>
              </w:rPr>
            </w:r>
            <w:r>
              <w:rPr>
                <w:sz w:val="17"/>
              </w:rPr>
              <w:t>22</w:t>
            </w:r>
          </w:p>
        </w:tc>
        <w:tc>
          <w:tcPr>
            <w:tcW w:type="dxa" w:w="1728"/>
          </w:tcPr>
          <w:p>
            <w:r>
              <w:rPr>
                <w:sz w:val="17"/>
              </w:rPr>
            </w:r>
            <w:r>
              <w:rPr>
                <w:sz w:val="17"/>
              </w:rPr>
              <w:t>0.42</w:t>
            </w:r>
          </w:p>
        </w:tc>
        <w:tc>
          <w:tcPr>
            <w:tcW w:type="dxa" w:w="1728"/>
          </w:tcPr>
          <w:p>
            <w:r>
              <w:rPr>
                <w:sz w:val="17"/>
              </w:rPr>
            </w:r>
            <w:r>
              <w:rPr>
                <w:sz w:val="17"/>
              </w:rPr>
              <w:t>40 %</w:t>
            </w:r>
          </w:p>
        </w:tc>
      </w:tr>
      <w:tr>
        <w:tc>
          <w:tcPr>
            <w:tcW w:type="dxa" w:w="1728"/>
          </w:tcPr>
          <w:p>
            <w:r>
              <w:rPr>
                <w:sz w:val="17"/>
              </w:rPr>
            </w:r>
            <w:r>
              <w:rPr>
                <w:sz w:val="17"/>
              </w:rPr>
              <w:t>2029 (توسّع)</w:t>
            </w:r>
          </w:p>
        </w:tc>
        <w:tc>
          <w:tcPr>
            <w:tcW w:type="dxa" w:w="1728"/>
          </w:tcPr>
          <w:p>
            <w:r>
              <w:rPr>
                <w:sz w:val="17"/>
              </w:rPr>
            </w:r>
            <w:r>
              <w:rPr>
                <w:sz w:val="17"/>
              </w:rPr>
              <w:t>5</w:t>
            </w:r>
          </w:p>
        </w:tc>
        <w:tc>
          <w:tcPr>
            <w:tcW w:type="dxa" w:w="1728"/>
          </w:tcPr>
          <w:p>
            <w:r>
              <w:rPr>
                <w:sz w:val="17"/>
              </w:rPr>
            </w:r>
            <w:r>
              <w:rPr>
                <w:sz w:val="17"/>
              </w:rPr>
              <w:t>80</w:t>
            </w:r>
          </w:p>
        </w:tc>
        <w:tc>
          <w:tcPr>
            <w:tcW w:type="dxa" w:w="1728"/>
          </w:tcPr>
          <w:p>
            <w:r>
              <w:rPr>
                <w:sz w:val="17"/>
              </w:rPr>
            </w:r>
            <w:r>
              <w:rPr>
                <w:sz w:val="17"/>
              </w:rPr>
              <w:t>1.8</w:t>
            </w:r>
          </w:p>
        </w:tc>
        <w:tc>
          <w:tcPr>
            <w:tcW w:type="dxa" w:w="1728"/>
          </w:tcPr>
          <w:p>
            <w:r>
              <w:rPr>
                <w:sz w:val="17"/>
              </w:rPr>
            </w:r>
            <w:r>
              <w:rPr>
                <w:sz w:val="17"/>
              </w:rPr>
              <w:t>55 %</w:t>
            </w:r>
          </w:p>
        </w:tc>
      </w:tr>
      <w:tr>
        <w:tc>
          <w:tcPr>
            <w:tcW w:type="dxa" w:w="1728"/>
          </w:tcPr>
          <w:p>
            <w:r>
              <w:rPr>
                <w:sz w:val="17"/>
              </w:rPr>
            </w:r>
            <w:r>
              <w:rPr>
                <w:sz w:val="17"/>
              </w:rPr>
              <w:t>2030 (طور الأفق)</w:t>
            </w:r>
          </w:p>
        </w:tc>
        <w:tc>
          <w:tcPr>
            <w:tcW w:type="dxa" w:w="1728"/>
          </w:tcPr>
          <w:p>
            <w:r>
              <w:rPr>
                <w:sz w:val="17"/>
              </w:rPr>
            </w:r>
            <w:r>
              <w:rPr>
                <w:sz w:val="17"/>
              </w:rPr>
              <w:t>12</w:t>
            </w:r>
          </w:p>
        </w:tc>
        <w:tc>
          <w:tcPr>
            <w:tcW w:type="dxa" w:w="1728"/>
          </w:tcPr>
          <w:p>
            <w:r>
              <w:rPr>
                <w:sz w:val="17"/>
              </w:rPr>
            </w:r>
            <w:r>
              <w:rPr>
                <w:sz w:val="17"/>
              </w:rPr>
              <w:t>400</w:t>
            </w:r>
          </w:p>
        </w:tc>
        <w:tc>
          <w:tcPr>
            <w:tcW w:type="dxa" w:w="1728"/>
          </w:tcPr>
          <w:p>
            <w:r>
              <w:rPr>
                <w:sz w:val="17"/>
              </w:rPr>
            </w:r>
            <w:r>
              <w:rPr>
                <w:sz w:val="17"/>
              </w:rPr>
              <w:t>8.4</w:t>
            </w:r>
          </w:p>
        </w:tc>
        <w:tc>
          <w:tcPr>
            <w:tcW w:type="dxa" w:w="1728"/>
          </w:tcPr>
          <w:p>
            <w:r>
              <w:rPr>
                <w:sz w:val="17"/>
              </w:rPr>
            </w:r>
            <w:r>
              <w:rPr>
                <w:sz w:val="17"/>
              </w:rPr>
              <w:t>65 %</w:t>
            </w:r>
          </w:p>
        </w:tc>
      </w:tr>
    </w:tbl>
    <w:p/>
    <w:p>
      <w:pPr>
        <w:pStyle w:val="Heading3"/>
      </w:pPr>
      <w:r>
        <w:t>5.3. Cash-runway للتجربة</w:t>
      </w:r>
    </w:p>
    <w:p>
      <w:pPr>
        <w:jc w:val="both"/>
      </w:pPr>
      <w:r>
        <w:t>تُوزَّع الجولة الأولى 15 مليون $ (1 335 مليون ₽):</w:t>
      </w:r>
    </w:p>
    <w:p>
      <w:pPr>
        <w:pStyle w:val="ListBullet"/>
      </w:pPr>
      <w:r>
        <w:t>24.6 مليون ₽ — تأسيس JSC والتسجيل التنظيمي.</w:t>
      </w:r>
    </w:p>
    <w:p>
      <w:pPr>
        <w:pStyle w:val="ListBullet"/>
      </w:pPr>
      <w:r>
        <w:t>720 مليون ₽ — CapEx لأول 18 شهرًا (المنصة، مراكز البيانات، الرخص).</w:t>
      </w:r>
    </w:p>
    <w:p>
      <w:pPr>
        <w:pStyle w:val="ListBullet"/>
      </w:pPr>
      <w:r>
        <w:t>502+220 = 722 مليون ₽ — OpEx السنة الأولى (مع الرواتب لأربعين شخصًا).</w:t>
      </w:r>
    </w:p>
    <w:p>
      <w:pPr>
        <w:jc w:val="both"/>
      </w:pPr>
      <w:r>
        <w:rPr>
          <w:b/>
        </w:rPr>
        <w:t>الحاجة التمويلية.</w:t>
      </w:r>
      <w:r>
        <w:t xml:space="preserve"> في السيناريو الأساسي تقع الذروة في نهاية 2028 وتبلغ 1,701 مليون ₽؛ وفي السيناريو المحافظ (wedge) تبلغ 2,277 مليون ₽، لأن الإيراد ينمو أبطأ عند المصروفات نفسها. والجولة المعلنة البالغة 1.8 مليار ₽ تغطي السيناريو الأساسي بهامش، والمحافظ بنسبة 79 %؛ ويُسدّ الباقي بشريحة وسيطة.</w:t>
      </w:r>
    </w:p>
    <w:p>
      <w:pPr>
        <w:pStyle w:val="Heading2"/>
      </w:pPr>
      <w:r>
        <w:t>6. التحليل التنافسي للـ wedge-pilot</w:t>
      </w:r>
    </w:p>
    <w:p>
      <w:pPr>
        <w:jc w:val="both"/>
      </w:pPr>
      <w:r>
        <w:t>أشار التدقيق D-2 إلى منافسين لم يُذكَروا في الـ DD. في استراتيجية wedge — الضم:</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المنافس</w:t>
            </w:r>
          </w:p>
        </w:tc>
        <w:tc>
          <w:tcPr>
            <w:tcW w:type="dxa" w:w="4320"/>
          </w:tcPr>
          <w:p>
            <w:r>
              <w:rPr>
                <w:b/>
                <w:sz w:val="17"/>
              </w:rPr>
            </w:r>
            <w:r>
              <w:rPr>
                <w:b/>
                <w:sz w:val="17"/>
              </w:rPr>
              <w:t>استراتيجية الـ wedge</w:t>
            </w:r>
          </w:p>
        </w:tc>
      </w:tr>
      <w:tr>
        <w:tc>
          <w:tcPr>
            <w:tcW w:type="dxa" w:w="4320"/>
          </w:tcPr>
          <w:p>
            <w:r>
              <w:rPr>
                <w:sz w:val="17"/>
              </w:rPr>
            </w:r>
            <w:r>
              <w:rPr>
                <w:b/>
                <w:sz w:val="17"/>
              </w:rPr>
              <w:t>Atomyze، Masterchain، Lighthouse، Sber CFA، Alfa CFA</w:t>
            </w:r>
          </w:p>
        </w:tc>
        <w:tc>
          <w:tcPr>
            <w:tcW w:type="dxa" w:w="4320"/>
          </w:tcPr>
          <w:p>
            <w:r>
              <w:rPr>
                <w:sz w:val="17"/>
              </w:rPr>
            </w:r>
            <w:r>
              <w:rPr>
                <w:sz w:val="17"/>
              </w:rPr>
              <w:t>الضمّ عبر نموذج كونسورتيوم. أحد مشغّلي السجل 779-P القائمين (مشغّل الصفقة وفق ترخيصه 779-P — الترخيص غير قابل للنقل بين أشخاص اعتبارية؛ تقاسم الوظائف: CPFSR — front-end/وكيل، Atomyze — مشغّل)؛ يُدرَج الباقي في خريطة الطريق كمزوّدي بنية DLT أو خدمات مكمّلة.</w:t>
            </w:r>
          </w:p>
        </w:tc>
      </w:tr>
      <w:tr>
        <w:tc>
          <w:tcPr>
            <w:tcW w:type="dxa" w:w="4320"/>
          </w:tcPr>
          <w:p>
            <w:r>
              <w:rPr>
                <w:sz w:val="17"/>
              </w:rPr>
            </w:r>
            <w:r>
              <w:rPr>
                <w:b/>
                <w:sz w:val="17"/>
              </w:rPr>
              <w:t>بورصة موسكو / SPB Exchange</w:t>
            </w:r>
          </w:p>
        </w:tc>
        <w:tc>
          <w:tcPr>
            <w:tcW w:type="dxa" w:w="4320"/>
          </w:tcPr>
          <w:p>
            <w:r>
              <w:rPr>
                <w:sz w:val="17"/>
              </w:rPr>
            </w:r>
            <w:r>
              <w:rPr>
                <w:sz w:val="17"/>
              </w:rPr>
              <w:t>ليست منافسة في طور wedge (لا تعمل بضمانات عقارية). شريك في السوق الثانوية لـ DFA.</w:t>
            </w:r>
          </w:p>
        </w:tc>
      </w:tr>
      <w:tr>
        <w:tc>
          <w:tcPr>
            <w:tcW w:type="dxa" w:w="4320"/>
          </w:tcPr>
          <w:p>
            <w:r>
              <w:rPr>
                <w:sz w:val="17"/>
              </w:rPr>
            </w:r>
            <w:r>
              <w:rPr>
                <w:b/>
                <w:sz w:val="17"/>
              </w:rPr>
              <w:t>منصة VEB.RF «ROIV» و«مصنع تمويل المشاريع»</w:t>
            </w:r>
          </w:p>
        </w:tc>
        <w:tc>
          <w:tcPr>
            <w:tcW w:type="dxa" w:w="4320"/>
          </w:tcPr>
          <w:p>
            <w:r>
              <w:rPr>
                <w:sz w:val="17"/>
              </w:rPr>
            </w:r>
            <w:r>
              <w:rPr>
                <w:b/>
                <w:sz w:val="17"/>
              </w:rPr>
              <w:t>ليست منافسة، بل مصدر تمويل مستهدف</w:t>
            </w:r>
            <w:r>
              <w:rPr>
                <w:sz w:val="17"/>
              </w:rPr>
              <w:t xml:space="preserve"> في wedge. تصبح VEB.RF الحليف المركزي.</w:t>
            </w:r>
          </w:p>
        </w:tc>
      </w:tr>
      <w:tr>
        <w:tc>
          <w:tcPr>
            <w:tcW w:type="dxa" w:w="4320"/>
          </w:tcPr>
          <w:p>
            <w:r>
              <w:rPr>
                <w:sz w:val="17"/>
              </w:rPr>
            </w:r>
            <w:r>
              <w:rPr>
                <w:b/>
                <w:sz w:val="17"/>
              </w:rPr>
              <w:t>DOM.RF</w:t>
            </w:r>
          </w:p>
        </w:tc>
        <w:tc>
          <w:tcPr>
            <w:tcW w:type="dxa" w:w="4320"/>
          </w:tcPr>
          <w:p>
            <w:r>
              <w:rPr>
                <w:sz w:val="17"/>
              </w:rPr>
            </w:r>
            <w:r>
              <w:rPr>
                <w:sz w:val="17"/>
              </w:rPr>
              <w:t>شريك في تورين العقارات (تخصّص في القطاع السكني). MoU بعد التجربة.</w:t>
            </w:r>
          </w:p>
        </w:tc>
      </w:tr>
      <w:tr>
        <w:tc>
          <w:tcPr>
            <w:tcW w:type="dxa" w:w="4320"/>
          </w:tcPr>
          <w:p>
            <w:r>
              <w:rPr>
                <w:sz w:val="17"/>
              </w:rPr>
            </w:r>
            <w:r>
              <w:rPr>
                <w:b/>
                <w:sz w:val="17"/>
              </w:rPr>
              <w:t>действующий оператор 779-P</w:t>
            </w:r>
          </w:p>
        </w:tc>
        <w:tc>
          <w:tcPr>
            <w:tcW w:type="dxa" w:w="4320"/>
          </w:tcPr>
          <w:p>
            <w:r>
              <w:rPr>
                <w:sz w:val="17"/>
              </w:rPr>
            </w:r>
            <w:r>
              <w:rPr>
                <w:sz w:val="17"/>
              </w:rPr>
              <w:t>الحماية من «قاتل» — شراكة تقنية مبكرة (مشغّل الصفقة + اتفاقية توافق؛ دون نقل ترخيص).</w:t>
            </w:r>
          </w:p>
        </w:tc>
      </w:tr>
      <w:tr>
        <w:tc>
          <w:tcPr>
            <w:tcW w:type="dxa" w:w="4320"/>
          </w:tcPr>
          <w:p>
            <w:r>
              <w:rPr>
                <w:sz w:val="17"/>
              </w:rPr>
            </w:r>
            <w:r>
              <w:rPr>
                <w:b/>
                <w:sz w:val="17"/>
              </w:rPr>
              <w:t>الروبل الرقمي (340-FZ)</w:t>
            </w:r>
          </w:p>
        </w:tc>
        <w:tc>
          <w:tcPr>
            <w:tcW w:type="dxa" w:w="4320"/>
          </w:tcPr>
          <w:p>
            <w:r>
              <w:rPr>
                <w:sz w:val="17"/>
              </w:rPr>
            </w:r>
            <w:r>
              <w:rPr>
                <w:sz w:val="17"/>
              </w:rPr>
              <w:t>تكامل معماري: CPFSR تعمل بالضمانات؛ الروبل الرقمي أداة تسوية. ليس منافسًا.</w:t>
            </w:r>
          </w:p>
        </w:tc>
      </w:tr>
    </w:tbl>
    <w:p/>
    <w:p>
      <w:pPr>
        <w:pStyle w:val="Heading2"/>
      </w:pPr>
      <w:r>
        <w:t>7. الحماية من تضارب التفويض</w:t>
      </w:r>
    </w:p>
    <w:p>
      <w:pPr>
        <w:jc w:val="both"/>
      </w:pPr>
      <w:r>
        <w:t xml:space="preserve">الميزة الرئيسة للـ wedge: </w:t>
      </w:r>
      <w:r>
        <w:rPr>
          <w:b/>
        </w:rPr>
        <w:t>لا يدخل المشروع إلى بنك روسيا بطلب إصدار</w:t>
      </w:r>
      <w:r>
        <w: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حجّة ضد تفويض بنك روسيا</w:t>
            </w:r>
          </w:p>
        </w:tc>
        <w:tc>
          <w:tcPr>
            <w:tcW w:type="dxa" w:w="4320"/>
          </w:tcPr>
          <w:p>
            <w:r>
              <w:rPr>
                <w:b/>
                <w:sz w:val="17"/>
              </w:rPr>
            </w:r>
            <w:r>
              <w:rPr>
                <w:b/>
                <w:sz w:val="17"/>
              </w:rPr>
              <w:t>الردّ wedge</w:t>
            </w:r>
          </w:p>
        </w:tc>
      </w:tr>
      <w:tr>
        <w:tc>
          <w:tcPr>
            <w:tcW w:type="dxa" w:w="4320"/>
          </w:tcPr>
          <w:p>
            <w:r>
              <w:rPr>
                <w:sz w:val="17"/>
              </w:rPr>
            </w:r>
            <w:r>
              <w:rPr>
                <w:sz w:val="17"/>
              </w:rPr>
              <w:t>لا يملك بنك روسيا صلاحية الإصدار المستهدف (المواد 4 و22 و75 من 86-FZ)</w:t>
            </w:r>
          </w:p>
        </w:tc>
        <w:tc>
          <w:tcPr>
            <w:tcW w:type="dxa" w:w="4320"/>
          </w:tcPr>
          <w:p>
            <w:r>
              <w:rPr>
                <w:sz w:val="17"/>
              </w:rPr>
            </w:r>
            <w:r>
              <w:rPr>
                <w:sz w:val="17"/>
              </w:rPr>
              <w:t>في wedge — تمويل مستهدف عبر VEB.RF / الخزانة؛ لا يلزم تعديل 86-FZ</w:t>
            </w:r>
          </w:p>
        </w:tc>
      </w:tr>
      <w:tr>
        <w:tc>
          <w:tcPr>
            <w:tcW w:type="dxa" w:w="4320"/>
          </w:tcPr>
          <w:p>
            <w:r>
              <w:rPr>
                <w:sz w:val="17"/>
              </w:rPr>
            </w:r>
            <w:r>
              <w:rPr>
                <w:sz w:val="17"/>
              </w:rPr>
              <w:t>إصدار روبلات بضمان غير سائل — QE بمخاطر ائتمانية مخفية</w:t>
            </w:r>
          </w:p>
        </w:tc>
        <w:tc>
          <w:tcPr>
            <w:tcW w:type="dxa" w:w="4320"/>
          </w:tcPr>
          <w:p>
            <w:r>
              <w:rPr>
                <w:sz w:val="17"/>
              </w:rPr>
            </w:r>
            <w:r>
              <w:rPr>
                <w:sz w:val="17"/>
              </w:rPr>
              <w:t>في wedge — تمويل عبر VEB.RF بضمانات إقليمية؛ مخاطر الائتمان على ميزانية VEB.RF لا على بنك روسيا</w:t>
            </w:r>
          </w:p>
        </w:tc>
      </w:tr>
      <w:tr>
        <w:tc>
          <w:tcPr>
            <w:tcW w:type="dxa" w:w="4320"/>
          </w:tcPr>
          <w:p>
            <w:r>
              <w:rPr>
                <w:sz w:val="17"/>
              </w:rPr>
            </w:r>
            <w:r>
              <w:rPr>
                <w:sz w:val="17"/>
              </w:rPr>
              <w:t>الاحتساب المزدوج للضمانة</w:t>
            </w:r>
          </w:p>
        </w:tc>
        <w:tc>
          <w:tcPr>
            <w:tcW w:type="dxa" w:w="4320"/>
          </w:tcPr>
          <w:p>
            <w:r>
              <w:rPr>
                <w:sz w:val="17"/>
              </w:rPr>
            </w:r>
            <w:r>
              <w:rPr>
                <w:sz w:val="17"/>
              </w:rPr>
              <w:t>غير قائم في wedge: تمنح VEB.RF قرضًا حقيقيًّا مقابل ضمان حقيقي؛ DFA أداة تسوية</w:t>
            </w:r>
          </w:p>
        </w:tc>
      </w:tr>
      <w:tr>
        <w:tc>
          <w:tcPr>
            <w:tcW w:type="dxa" w:w="4320"/>
          </w:tcPr>
          <w:p>
            <w:r>
              <w:rPr>
                <w:sz w:val="17"/>
              </w:rPr>
            </w:r>
            <w:r>
              <w:rPr>
                <w:sz w:val="17"/>
              </w:rPr>
              <w:t>الثنائية التنظيمية (10 NPA — مشروع سياسي)</w:t>
            </w:r>
          </w:p>
        </w:tc>
        <w:tc>
          <w:tcPr>
            <w:tcW w:type="dxa" w:w="4320"/>
          </w:tcPr>
          <w:p>
            <w:r>
              <w:rPr>
                <w:sz w:val="17"/>
              </w:rPr>
            </w:r>
            <w:r>
              <w:rPr>
                <w:sz w:val="17"/>
              </w:rPr>
              <w:t>في wedge — لا يلزم أيّ تعديل في التشريع الحالي؛ فقط مواءمات ضمن 259-FZ و258-FZ</w:t>
            </w:r>
          </w:p>
        </w:tc>
      </w:tr>
      <w:tr>
        <w:tc>
          <w:tcPr>
            <w:tcW w:type="dxa" w:w="4320"/>
          </w:tcPr>
          <w:p>
            <w:r>
              <w:rPr>
                <w:sz w:val="17"/>
              </w:rPr>
            </w:r>
            <w:r>
              <w:rPr>
                <w:sz w:val="17"/>
              </w:rPr>
              <w:t>المدة حتى أول إصدار DFA</w:t>
            </w:r>
          </w:p>
        </w:tc>
        <w:tc>
          <w:tcPr>
            <w:tcW w:type="dxa" w:w="4320"/>
          </w:tcPr>
          <w:p>
            <w:r>
              <w:rPr>
                <w:sz w:val="17"/>
              </w:rPr>
            </w:r>
            <w:r>
              <w:rPr>
                <w:sz w:val="17"/>
              </w:rPr>
              <w:t xml:space="preserve">في wedge — </w:t>
            </w:r>
            <w:r>
              <w:rPr>
                <w:b/>
                <w:sz w:val="17"/>
              </w:rPr>
              <w:t>T+18 شهرًا من تأسيس JSC</w:t>
            </w:r>
            <w:r>
              <w:rPr>
                <w:sz w:val="17"/>
              </w:rPr>
              <w:t xml:space="preserve"> (موعد موحَّد: انظر § 2 الربع 3 من 2027)؛ معايرة الخطوات في § 4 على هذا الـ KPI. طور الأفق بحزمة NPA — T+36…T+60 شهرًا واقعي</w:t>
            </w:r>
          </w:p>
        </w:tc>
      </w:tr>
    </w:tbl>
    <w:p/>
    <w:p>
      <w:pPr>
        <w:pStyle w:val="Heading2"/>
      </w:pPr>
      <w:r>
        <w:t>8. معايير نجاح الـ wedge-pilot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المعيار</w:t>
            </w:r>
          </w:p>
        </w:tc>
        <w:tc>
          <w:tcPr>
            <w:tcW w:type="dxa" w:w="2880"/>
          </w:tcPr>
          <w:p>
            <w:r>
              <w:rPr>
                <w:b/>
                <w:sz w:val="17"/>
              </w:rPr>
            </w:r>
            <w:r>
              <w:rPr>
                <w:b/>
                <w:sz w:val="17"/>
              </w:rPr>
              <w:t>القيمة</w:t>
            </w:r>
          </w:p>
        </w:tc>
        <w:tc>
          <w:tcPr>
            <w:tcW w:type="dxa" w:w="2880"/>
          </w:tcPr>
          <w:p>
            <w:r>
              <w:rPr>
                <w:b/>
                <w:sz w:val="17"/>
              </w:rPr>
            </w:r>
            <w:r>
              <w:rPr>
                <w:b/>
                <w:sz w:val="17"/>
              </w:rPr>
              <w:t>الموعد</w:t>
            </w:r>
          </w:p>
        </w:tc>
      </w:tr>
      <w:tr>
        <w:tc>
          <w:tcPr>
            <w:tcW w:type="dxa" w:w="2880"/>
          </w:tcPr>
          <w:p>
            <w:r>
              <w:rPr>
                <w:sz w:val="17"/>
              </w:rPr>
            </w:r>
            <w:r>
              <w:rPr>
                <w:sz w:val="17"/>
              </w:rPr>
              <w:t>تأسيس JSC + تعيين المسؤولين</w:t>
            </w:r>
          </w:p>
        </w:tc>
        <w:tc>
          <w:tcPr>
            <w:tcW w:type="dxa" w:w="2880"/>
          </w:tcPr>
          <w:p>
            <w:r>
              <w:rPr>
                <w:sz w:val="17"/>
              </w:rPr>
            </w:r>
            <w:r>
              <w:rPr>
                <w:sz w:val="17"/>
              </w:rPr>
              <w:t>وفق 779-P</w:t>
            </w:r>
          </w:p>
        </w:tc>
        <w:tc>
          <w:tcPr>
            <w:tcW w:type="dxa" w:w="2880"/>
          </w:tcPr>
          <w:p>
            <w:r>
              <w:rPr>
                <w:sz w:val="17"/>
              </w:rPr>
            </w:r>
            <w:r>
              <w:rPr>
                <w:sz w:val="17"/>
              </w:rPr>
              <w:t>T+2 شهر</w:t>
            </w:r>
          </w:p>
        </w:tc>
      </w:tr>
      <w:tr>
        <w:tc>
          <w:tcPr>
            <w:tcW w:type="dxa" w:w="2880"/>
          </w:tcPr>
          <w:p>
            <w:r>
              <w:rPr>
                <w:sz w:val="17"/>
              </w:rPr>
            </w:r>
            <w:r>
              <w:rPr>
                <w:sz w:val="17"/>
              </w:rPr>
              <w:t>MoU مع الإقليم التجريبي</w:t>
            </w:r>
          </w:p>
        </w:tc>
        <w:tc>
          <w:tcPr>
            <w:tcW w:type="dxa" w:w="2880"/>
          </w:tcPr>
          <w:p>
            <w:r>
              <w:rPr>
                <w:sz w:val="17"/>
              </w:rPr>
            </w:r>
            <w:r>
              <w:rPr>
                <w:sz w:val="17"/>
              </w:rPr>
              <w:t>موقَّع</w:t>
            </w:r>
          </w:p>
        </w:tc>
        <w:tc>
          <w:tcPr>
            <w:tcW w:type="dxa" w:w="2880"/>
          </w:tcPr>
          <w:p>
            <w:r>
              <w:rPr>
                <w:sz w:val="17"/>
              </w:rPr>
            </w:r>
            <w:r>
              <w:rPr>
                <w:sz w:val="17"/>
              </w:rPr>
              <w:t>T+9 شهرًا</w:t>
            </w:r>
          </w:p>
        </w:tc>
      </w:tr>
      <w:tr>
        <w:tc>
          <w:tcPr>
            <w:tcW w:type="dxa" w:w="2880"/>
          </w:tcPr>
          <w:p>
            <w:r>
              <w:rPr>
                <w:sz w:val="17"/>
              </w:rPr>
            </w:r>
            <w:r>
              <w:rPr>
                <w:sz w:val="17"/>
              </w:rPr>
              <w:t>MoU مع البنك وشركة التأمين</w:t>
            </w:r>
          </w:p>
        </w:tc>
        <w:tc>
          <w:tcPr>
            <w:tcW w:type="dxa" w:w="2880"/>
          </w:tcPr>
          <w:p>
            <w:r>
              <w:rPr>
                <w:sz w:val="17"/>
              </w:rPr>
            </w:r>
            <w:r>
              <w:rPr>
                <w:sz w:val="17"/>
              </w:rPr>
              <w:t>موقَّع</w:t>
            </w:r>
          </w:p>
        </w:tc>
        <w:tc>
          <w:tcPr>
            <w:tcW w:type="dxa" w:w="2880"/>
          </w:tcPr>
          <w:p>
            <w:r>
              <w:rPr>
                <w:sz w:val="17"/>
              </w:rPr>
            </w:r>
            <w:r>
              <w:rPr>
                <w:sz w:val="17"/>
              </w:rPr>
              <w:t>T+9 شهرًا</w:t>
            </w:r>
          </w:p>
        </w:tc>
      </w:tr>
      <w:tr>
        <w:tc>
          <w:tcPr>
            <w:tcW w:type="dxa" w:w="2880"/>
          </w:tcPr>
          <w:p>
            <w:r>
              <w:rPr>
                <w:sz w:val="17"/>
              </w:rPr>
            </w:r>
            <w:r>
              <w:rPr>
                <w:sz w:val="17"/>
              </w:rPr>
              <w:t>الإدراج في سجل مشغّلي نظام معلومات DFA</w:t>
            </w:r>
          </w:p>
        </w:tc>
        <w:tc>
          <w:tcPr>
            <w:tcW w:type="dxa" w:w="2880"/>
          </w:tcPr>
          <w:p>
            <w:r>
              <w:rPr>
                <w:sz w:val="17"/>
              </w:rPr>
            </w:r>
            <w:r>
              <w:rPr>
                <w:sz w:val="17"/>
              </w:rPr>
              <w:t>محصَّل</w:t>
            </w:r>
          </w:p>
        </w:tc>
        <w:tc>
          <w:tcPr>
            <w:tcW w:type="dxa" w:w="2880"/>
          </w:tcPr>
          <w:p>
            <w:r>
              <w:rPr>
                <w:sz w:val="17"/>
              </w:rPr>
            </w:r>
            <w:r>
              <w:rPr>
                <w:sz w:val="17"/>
              </w:rPr>
              <w:t>T+12 شهرًا</w:t>
            </w:r>
          </w:p>
        </w:tc>
      </w:tr>
      <w:tr>
        <w:tc>
          <w:tcPr>
            <w:tcW w:type="dxa" w:w="2880"/>
          </w:tcPr>
          <w:p>
            <w:r>
              <w:rPr>
                <w:sz w:val="17"/>
              </w:rPr>
            </w:r>
            <w:r>
              <w:rPr>
                <w:sz w:val="17"/>
              </w:rPr>
              <w:t>إذن النظام القانوني التجريبي</w:t>
            </w:r>
          </w:p>
        </w:tc>
        <w:tc>
          <w:tcPr>
            <w:tcW w:type="dxa" w:w="2880"/>
          </w:tcPr>
          <w:p>
            <w:r>
              <w:rPr>
                <w:sz w:val="17"/>
              </w:rPr>
            </w:r>
            <w:r>
              <w:rPr>
                <w:sz w:val="17"/>
              </w:rPr>
              <w:t>محصَّل</w:t>
            </w:r>
          </w:p>
        </w:tc>
        <w:tc>
          <w:tcPr>
            <w:tcW w:type="dxa" w:w="2880"/>
          </w:tcPr>
          <w:p>
            <w:r>
              <w:rPr>
                <w:sz w:val="17"/>
              </w:rPr>
            </w:r>
            <w:r>
              <w:rPr>
                <w:sz w:val="17"/>
              </w:rPr>
              <w:t>T+12 شهرًا</w:t>
            </w:r>
          </w:p>
        </w:tc>
      </w:tr>
      <w:tr>
        <w:tc>
          <w:tcPr>
            <w:tcW w:type="dxa" w:w="2880"/>
          </w:tcPr>
          <w:p>
            <w:r>
              <w:rPr>
                <w:sz w:val="17"/>
              </w:rPr>
            </w:r>
            <w:r>
              <w:rPr>
                <w:sz w:val="17"/>
              </w:rPr>
              <w:t>الدورة الأولى لإصدار DFA مستهدفة</w:t>
            </w:r>
          </w:p>
        </w:tc>
        <w:tc>
          <w:tcPr>
            <w:tcW w:type="dxa" w:w="2880"/>
          </w:tcPr>
          <w:p>
            <w:r>
              <w:rPr>
                <w:sz w:val="17"/>
              </w:rPr>
            </w:r>
            <w:r>
              <w:rPr>
                <w:sz w:val="17"/>
              </w:rPr>
              <w:t>5 مليار ₽</w:t>
            </w:r>
          </w:p>
        </w:tc>
        <w:tc>
          <w:tcPr>
            <w:tcW w:type="dxa" w:w="2880"/>
          </w:tcPr>
          <w:p>
            <w:r>
              <w:rPr>
                <w:sz w:val="17"/>
              </w:rPr>
            </w:r>
            <w:r>
              <w:rPr>
                <w:sz w:val="17"/>
              </w:rPr>
              <w:t>T+18 شهرًا</w:t>
            </w:r>
          </w:p>
        </w:tc>
      </w:tr>
      <w:tr>
        <w:tc>
          <w:tcPr>
            <w:tcW w:type="dxa" w:w="2880"/>
          </w:tcPr>
          <w:p>
            <w:r>
              <w:rPr>
                <w:sz w:val="17"/>
              </w:rPr>
            </w:r>
            <w:r>
              <w:rPr>
                <w:sz w:val="17"/>
              </w:rPr>
              <w:t>أول تمويل مستهدف عبر VEB.RF</w:t>
            </w:r>
          </w:p>
        </w:tc>
        <w:tc>
          <w:tcPr>
            <w:tcW w:type="dxa" w:w="2880"/>
          </w:tcPr>
          <w:p>
            <w:r>
              <w:rPr>
                <w:sz w:val="17"/>
              </w:rPr>
            </w:r>
            <w:r>
              <w:rPr>
                <w:sz w:val="17"/>
              </w:rPr>
              <w:t>5 مليار ₽</w:t>
            </w:r>
          </w:p>
        </w:tc>
        <w:tc>
          <w:tcPr>
            <w:tcW w:type="dxa" w:w="2880"/>
          </w:tcPr>
          <w:p>
            <w:r>
              <w:rPr>
                <w:sz w:val="17"/>
              </w:rPr>
            </w:r>
            <w:r>
              <w:rPr>
                <w:sz w:val="17"/>
              </w:rPr>
              <w:t>T+19 شهرًا</w:t>
            </w:r>
          </w:p>
        </w:tc>
      </w:tr>
      <w:tr>
        <w:tc>
          <w:tcPr>
            <w:tcW w:type="dxa" w:w="2880"/>
          </w:tcPr>
          <w:p>
            <w:r>
              <w:rPr>
                <w:sz w:val="17"/>
              </w:rPr>
            </w:r>
            <w:r>
              <w:rPr>
                <w:sz w:val="17"/>
              </w:rPr>
              <w:t>التوسّع إلى 3 أقاليم</w:t>
            </w:r>
          </w:p>
        </w:tc>
        <w:tc>
          <w:tcPr>
            <w:tcW w:type="dxa" w:w="2880"/>
          </w:tcPr>
          <w:p>
            <w:r>
              <w:rPr>
                <w:sz w:val="17"/>
              </w:rPr>
            </w:r>
            <w:r>
              <w:rPr>
                <w:sz w:val="17"/>
              </w:rPr>
              <w:t>الإطلاق</w:t>
            </w:r>
          </w:p>
        </w:tc>
        <w:tc>
          <w:tcPr>
            <w:tcW w:type="dxa" w:w="2880"/>
          </w:tcPr>
          <w:p>
            <w:r>
              <w:rPr>
                <w:sz w:val="17"/>
              </w:rPr>
            </w:r>
            <w:r>
              <w:rPr>
                <w:sz w:val="17"/>
              </w:rPr>
              <w:t>T+24 شهرًا</w:t>
            </w:r>
          </w:p>
        </w:tc>
      </w:tr>
      <w:tr>
        <w:tc>
          <w:tcPr>
            <w:tcW w:type="dxa" w:w="2880"/>
          </w:tcPr>
          <w:p>
            <w:r>
              <w:rPr>
                <w:sz w:val="17"/>
              </w:rPr>
            </w:r>
            <w:r>
              <w:rPr>
                <w:sz w:val="17"/>
              </w:rPr>
              <w:t>الموقف الموحَّد بين الإدارات للدخول إلى بنك روسيا بحزمة NPA</w:t>
            </w:r>
          </w:p>
        </w:tc>
        <w:tc>
          <w:tcPr>
            <w:tcW w:type="dxa" w:w="2880"/>
          </w:tcPr>
          <w:p>
            <w:r>
              <w:rPr>
                <w:sz w:val="17"/>
              </w:rPr>
            </w:r>
            <w:r>
              <w:rPr>
                <w:sz w:val="17"/>
              </w:rPr>
              <w:t>موقَّع</w:t>
            </w:r>
          </w:p>
        </w:tc>
        <w:tc>
          <w:tcPr>
            <w:tcW w:type="dxa" w:w="2880"/>
          </w:tcPr>
          <w:p>
            <w:r>
              <w:rPr>
                <w:sz w:val="17"/>
              </w:rPr>
            </w:r>
            <w:r>
              <w:rPr>
                <w:sz w:val="17"/>
              </w:rPr>
              <w:t>T+30 شهرًا</w:t>
            </w:r>
          </w:p>
        </w:tc>
      </w:tr>
    </w:tbl>
    <w:p/>
    <w:p>
      <w:pPr>
        <w:pStyle w:val="Heading2"/>
      </w:pPr>
      <w:r>
        <w:t>9. ما يغيّره الـ wedge-pilot في النموذج المالي</w:t>
      </w:r>
    </w:p>
    <w:p>
      <w:pPr>
        <w:jc w:val="both"/>
      </w:pPr>
      <w:r>
        <w:t xml:space="preserve">يأخذ </w:t>
      </w:r>
      <w:r>
        <w:rPr>
          <w:b/>
        </w:rPr>
        <w:t>النموذج المالي</w:t>
      </w:r>
      <w:r>
        <w:t xml:space="preserve"> (</w:t>
      </w:r>
      <w:r>
        <w:rPr>
          <w:rFonts w:ascii="Consolas" w:hAnsi="Consolas"/>
          <w:sz w:val="18"/>
        </w:rPr>
        <w:t>03_Финансовая_модель/Финансовая_модель_ЦП_РСФСР.md</w:t>
      </w:r>
      <w:r>
        <w:t>) نمط الـ wedge بعين الاعتبار في السيناريو المحافظ:</w:t>
      </w:r>
    </w:p>
    <w:p>
      <w:pPr>
        <w:pStyle w:val="ListBullet"/>
      </w:pPr>
      <w:r>
        <w:t>حصة السوق في السنة 10 — 7 % (مقابل 18 % في السيناريو الأساسي).</w:t>
      </w:r>
    </w:p>
    <w:p>
      <w:pPr>
        <w:pStyle w:val="ListBullet"/>
      </w:pPr>
      <w:r>
        <w:t>قيمة المشروع — 20.1 مليار ₽ (مقابل 63.0 مليار ₽ في السيناريو الأساسي).</w:t>
      </w:r>
    </w:p>
    <w:p>
      <w:pPr>
        <w:pStyle w:val="ListBullet"/>
      </w:pPr>
      <w:r>
        <w:t>الاسترداد — 3.94 سنة (مقابل 2.73 في السيناريو الأساسي).</w:t>
      </w:r>
    </w:p>
    <w:p>
      <w:pPr>
        <w:pStyle w:val="ListBullet"/>
      </w:pPr>
      <w:r>
        <w:t>ذروة الحاجة التمويلية — 2,277 مليون ₽ (مقابل 1,701 مليون ₽).</w:t>
      </w:r>
    </w:p>
    <w:p>
      <w:pPr>
        <w:jc w:val="both"/>
      </w:pPr>
      <w:r>
        <w:rPr>
          <w:b/>
        </w:rPr>
        <w:t>السيناريو المحافظ في wedge هو floor</w:t>
      </w:r>
      <w:r>
        <w:t>، لا يهبط دونه المشروع حتى عند الرفض الكامل للحزمة التشريعية.</w:t>
      </w:r>
    </w:p>
    <w:p>
      <w:pPr>
        <w:pStyle w:val="Heading2"/>
      </w:pPr>
      <w:r>
        <w:t>10. الخلاصة</w:t>
      </w:r>
    </w:p>
    <w:p>
      <w:pPr>
        <w:jc w:val="both"/>
      </w:pPr>
      <w:r>
        <w:t xml:space="preserve">Wedge / pilot-light ضمن 259-FZ القائم — </w:t>
      </w:r>
      <w:r>
        <w:rPr>
          <w:b/>
        </w:rPr>
        <w:t>نقطة تحوّل استراتيجية ضرورية</w:t>
      </w:r>
      <w:r>
        <w:t xml:space="preserve"> بنتائج بند التدقيق D5. يجعل المشروع:</w:t>
      </w:r>
    </w:p>
    <w:p>
      <w:pPr>
        <w:pStyle w:val="ListBullet"/>
      </w:pPr>
      <w:r>
        <w:rPr>
          <w:b/>
        </w:rPr>
        <w:t>واقعيًّا تنظيميًّا</w:t>
      </w:r>
      <w:r>
        <w:t xml:space="preserve"> (لا يستلزم حزمة 4 قوانين اتحادية لانطلاقه).</w:t>
      </w:r>
    </w:p>
    <w:p>
      <w:pPr>
        <w:pStyle w:val="ListBullet"/>
      </w:pPr>
      <w:r>
        <w:rPr>
          <w:b/>
        </w:rPr>
        <w:t>محايدًا سياسيًّا</w:t>
      </w:r>
      <w:r>
        <w:t xml:space="preserve"> (لا يهدّد تفويض بنك روسيا).</w:t>
      </w:r>
    </w:p>
    <w:p>
      <w:pPr>
        <w:pStyle w:val="ListBullet"/>
      </w:pPr>
      <w:r>
        <w:rPr>
          <w:b/>
        </w:rPr>
        <w:t>محصَّنًا ماليًّا</w:t>
      </w:r>
      <w:r>
        <w:t xml:space="preserve"> (قيمة المشروع 20.1 مليار ₽ حتى عند رفض حزمة التعديلات).</w:t>
      </w:r>
    </w:p>
    <w:p>
      <w:pPr>
        <w:pStyle w:val="ListBullet"/>
      </w:pPr>
      <w:r>
        <w:rPr>
          <w:b/>
        </w:rPr>
        <w:t>قويًّا تفاوضيًّا</w:t>
      </w:r>
      <w:r>
        <w:t xml:space="preserve"> (بعد 24 شهرًا من التشغيل الفعلي — موقف موحَّد للدخول إلى بنك روسيا بحزمة NPA).</w:t>
      </w:r>
    </w:p>
    <w:p>
      <w:pPr>
        <w:jc w:val="both"/>
      </w:pPr>
      <w:r>
        <w:t>هذا هو الأرتيفاكت النهائي الذي يُغلق العلامة الحمراء الاستراتيجية D5.</w:t>
      </w:r>
    </w:p>
    <w:p>
      <w:pPr>
        <w:jc w:val="both"/>
      </w:pPr>
      <w:r>
        <w:rPr>
          <w:b/>
        </w:rPr>
        <w:t>تاريخ الإعداد:</w:t>
      </w:r>
      <w:r>
        <w:t xml:space="preserve"> 24.05.2026. </w:t>
      </w:r>
      <w:r>
        <w:rPr>
          <w:b/>
        </w:rPr>
        <w:t>أُعدّ:</w:t>
      </w:r>
      <w:r>
        <w:t xml:space="preserve"> في إطار تصحيح العلامات الحمراء للتدقيق الموحَّد؛ متوائم مع النموذج المالي والإطار القانوني.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