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تقرير العناية الواجبة (DD)</w:t>
      </w:r>
    </w:p>
    <w:p>
      <w:pPr>
        <w:ind w:left="360"/>
      </w:pPr>
      <w:r>
        <w:rPr>
          <w:b/>
          <w:i/>
          <w:color w:val="444444"/>
        </w:rPr>
        <w:t>ملاحظة.</w:t>
      </w:r>
      <w:r>
        <w:rPr>
          <w:i/>
          <w:color w:val="444444"/>
        </w:rPr>
        <w:t xml:space="preserve"> هذه الترجمة تتبع الأصل الروسي. أُعيد احتساب القسم المالي في الأصل بتاريخ 07.09.2026 (النموذج v5)، وقد وُوئمت أرقام هذه الترجمة مع ذلك الاحتساب. وعند أي اختلاف في الصياغة يُعتد بالنسخة الروسية.</w:t>
      </w:r>
    </w:p>
    <w:p>
      <w:pPr>
        <w:pStyle w:val="Heading2"/>
      </w:pPr>
      <w:r>
        <w:t>المنصة الرقمية CPFSR</w:t>
      </w:r>
    </w:p>
    <w:p>
      <w:pPr>
        <w:jc w:val="both"/>
      </w:pPr>
      <w:r>
        <w:rPr>
          <w:b/>
        </w:rPr>
        <w:t>معيار العمل:</w:t>
      </w:r>
      <w:r>
        <w:t xml:space="preserve"> منهجية Due Diligence على مستوى Big Four (Deloitte / EY / KPMG / PwC). أُعدّت الوثيقة بصيغة تقرير DD داخلي لمجلس الإدارة / المستثمر. </w:t>
      </w:r>
      <w:r>
        <w:rPr>
          <w:b/>
        </w:rPr>
        <w:t>موضوع DD:</w:t>
      </w:r>
      <w:r>
        <w:t xml:space="preserve"> وثائق مشروع CPFSR كما هي في 2025. </w:t>
      </w:r>
      <w:r>
        <w:rPr>
          <w:b/>
        </w:rPr>
        <w:t>النهج:</w:t>
      </w:r>
      <w:r>
        <w:t xml:space="preserve"> مراجعة على ستة محاور (Commercial / Legal / Financial / Technical / Operational / Tax &amp; Regulatory) + قسم ختامي موحَّد بأعلام حمراء صريحة وتوصيات.</w:t>
      </w:r>
    </w:p>
    <w:p>
      <w:pPr>
        <w:pStyle w:val="Heading2"/>
      </w:pPr>
      <w:r>
        <w:t>1. الملخّص التنفيذي</w:t>
      </w:r>
    </w:p>
    <w:p>
      <w:pPr>
        <w:pStyle w:val="Heading3"/>
      </w:pPr>
      <w:r>
        <w:t>بنية DD</w:t>
      </w:r>
    </w:p>
    <w:p>
      <w:pPr>
        <w:jc w:val="both"/>
      </w:pPr>
      <w:r>
        <w:t>يغطّي التقرير المحاور الستة الكلاسيكية لـ Due Diligence، إضافة إلى محور إضافي (ESG / الاستدامة)، أي سبع وحدات إجمالًا. تنتهي كل وحدة بتقييم:</w:t>
      </w:r>
    </w:p>
    <w:p>
      <w:pPr>
        <w:pStyle w:val="ListBullet"/>
      </w:pPr>
      <w:r>
        <w:rPr>
          <w:b/>
        </w:rPr>
        <w:t>Green</w:t>
      </w:r>
      <w:r>
        <w:t xml:space="preserve"> — لا ملاحظات جوهرية؛</w:t>
      </w:r>
    </w:p>
    <w:p>
      <w:pPr>
        <w:pStyle w:val="ListBullet"/>
      </w:pPr>
      <w:r>
        <w:rPr>
          <w:b/>
        </w:rPr>
        <w:t>Amber</w:t>
      </w:r>
      <w:r>
        <w:t xml:space="preserve"> — ملاحظات تستلزم المعالجة قبل closing؛</w:t>
      </w:r>
    </w:p>
    <w:p>
      <w:pPr>
        <w:pStyle w:val="ListBullet"/>
      </w:pPr>
      <w:r>
        <w:rPr>
          <w:b/>
        </w:rPr>
        <w:t>Red</w:t>
      </w:r>
      <w:r>
        <w:t xml:space="preserve"> — ملاحظات حرجة يجب معالجتها كشرط للصفقة.</w:t>
      </w:r>
    </w:p>
    <w:p>
      <w:pPr>
        <w:pStyle w:val="Heading3"/>
      </w:pPr>
      <w:r>
        <w:t>التقييم العام للمشروع</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الوحدة</w:t>
            </w:r>
          </w:p>
        </w:tc>
        <w:tc>
          <w:tcPr>
            <w:tcW w:type="dxa" w:w="4320"/>
          </w:tcPr>
          <w:p>
            <w:r>
              <w:rPr>
                <w:b/>
                <w:sz w:val="17"/>
              </w:rPr>
            </w:r>
            <w:r>
              <w:rPr>
                <w:b/>
                <w:sz w:val="17"/>
              </w:rPr>
              <w:t>الحالة</w:t>
            </w:r>
          </w:p>
        </w:tc>
      </w:tr>
      <w:tr>
        <w:tc>
          <w:tcPr>
            <w:tcW w:type="dxa" w:w="4320"/>
          </w:tcPr>
          <w:p>
            <w:r>
              <w:rPr>
                <w:sz w:val="17"/>
              </w:rPr>
            </w:r>
            <w:r>
              <w:rPr>
                <w:sz w:val="17"/>
              </w:rPr>
              <w:t>1. Commercial DD</w:t>
            </w:r>
          </w:p>
        </w:tc>
        <w:tc>
          <w:tcPr>
            <w:tcW w:type="dxa" w:w="4320"/>
          </w:tcPr>
          <w:p>
            <w:r>
              <w:rPr>
                <w:sz w:val="17"/>
              </w:rPr>
            </w:r>
            <w:r>
              <w:rPr>
                <w:sz w:val="17"/>
              </w:rPr>
              <w:t>🟢 Green</w:t>
            </w:r>
          </w:p>
        </w:tc>
      </w:tr>
      <w:tr>
        <w:tc>
          <w:tcPr>
            <w:tcW w:type="dxa" w:w="4320"/>
          </w:tcPr>
          <w:p>
            <w:r>
              <w:rPr>
                <w:sz w:val="17"/>
              </w:rPr>
            </w:r>
            <w:r>
              <w:rPr>
                <w:sz w:val="17"/>
              </w:rPr>
              <w:t>2. Legal DD</w:t>
            </w:r>
          </w:p>
        </w:tc>
        <w:tc>
          <w:tcPr>
            <w:tcW w:type="dxa" w:w="4320"/>
          </w:tcPr>
          <w:p>
            <w:r>
              <w:rPr>
                <w:sz w:val="17"/>
              </w:rPr>
            </w:r>
            <w:r>
              <w:rPr>
                <w:sz w:val="17"/>
              </w:rPr>
              <w:t>🟡 Amber</w:t>
            </w:r>
          </w:p>
        </w:tc>
      </w:tr>
      <w:tr>
        <w:tc>
          <w:tcPr>
            <w:tcW w:type="dxa" w:w="4320"/>
          </w:tcPr>
          <w:p>
            <w:r>
              <w:rPr>
                <w:sz w:val="17"/>
              </w:rPr>
            </w:r>
            <w:r>
              <w:rPr>
                <w:sz w:val="17"/>
              </w:rPr>
              <w:t>3. Financial DD</w:t>
            </w:r>
          </w:p>
        </w:tc>
        <w:tc>
          <w:tcPr>
            <w:tcW w:type="dxa" w:w="4320"/>
          </w:tcPr>
          <w:p>
            <w:r>
              <w:rPr>
                <w:sz w:val="17"/>
              </w:rPr>
            </w:r>
            <w:r>
              <w:rPr>
                <w:sz w:val="17"/>
              </w:rPr>
              <w:t>🟢 Green</w:t>
            </w:r>
          </w:p>
        </w:tc>
      </w:tr>
      <w:tr>
        <w:tc>
          <w:tcPr>
            <w:tcW w:type="dxa" w:w="4320"/>
          </w:tcPr>
          <w:p>
            <w:r>
              <w:rPr>
                <w:sz w:val="17"/>
              </w:rPr>
            </w:r>
            <w:r>
              <w:rPr>
                <w:sz w:val="17"/>
              </w:rPr>
              <w:t>4. Technical DD</w:t>
            </w:r>
          </w:p>
        </w:tc>
        <w:tc>
          <w:tcPr>
            <w:tcW w:type="dxa" w:w="4320"/>
          </w:tcPr>
          <w:p>
            <w:r>
              <w:rPr>
                <w:sz w:val="17"/>
              </w:rPr>
            </w:r>
            <w:r>
              <w:rPr>
                <w:sz w:val="17"/>
              </w:rPr>
              <w:t>🟡 Amber</w:t>
            </w:r>
          </w:p>
        </w:tc>
      </w:tr>
      <w:tr>
        <w:tc>
          <w:tcPr>
            <w:tcW w:type="dxa" w:w="4320"/>
          </w:tcPr>
          <w:p>
            <w:r>
              <w:rPr>
                <w:sz w:val="17"/>
              </w:rPr>
            </w:r>
            <w:r>
              <w:rPr>
                <w:sz w:val="17"/>
              </w:rPr>
              <w:t>5. Operational DD</w:t>
            </w:r>
          </w:p>
        </w:tc>
        <w:tc>
          <w:tcPr>
            <w:tcW w:type="dxa" w:w="4320"/>
          </w:tcPr>
          <w:p>
            <w:r>
              <w:rPr>
                <w:sz w:val="17"/>
              </w:rPr>
            </w:r>
            <w:r>
              <w:rPr>
                <w:sz w:val="17"/>
              </w:rPr>
              <w:t>🟡 Amber</w:t>
            </w:r>
          </w:p>
        </w:tc>
      </w:tr>
      <w:tr>
        <w:tc>
          <w:tcPr>
            <w:tcW w:type="dxa" w:w="4320"/>
          </w:tcPr>
          <w:p>
            <w:r>
              <w:rPr>
                <w:sz w:val="17"/>
              </w:rPr>
            </w:r>
            <w:r>
              <w:rPr>
                <w:sz w:val="17"/>
              </w:rPr>
              <w:t>6. Tax &amp; Regulatory DD</w:t>
            </w:r>
          </w:p>
        </w:tc>
        <w:tc>
          <w:tcPr>
            <w:tcW w:type="dxa" w:w="4320"/>
          </w:tcPr>
          <w:p>
            <w:r>
              <w:rPr>
                <w:sz w:val="17"/>
              </w:rPr>
            </w:r>
            <w:r>
              <w:rPr>
                <w:sz w:val="17"/>
              </w:rPr>
              <w:t>🟡 Amber</w:t>
            </w:r>
          </w:p>
        </w:tc>
      </w:tr>
      <w:tr>
        <w:tc>
          <w:tcPr>
            <w:tcW w:type="dxa" w:w="4320"/>
          </w:tcPr>
          <w:p>
            <w:r>
              <w:rPr>
                <w:sz w:val="17"/>
              </w:rPr>
            </w:r>
            <w:r>
              <w:rPr>
                <w:sz w:val="17"/>
              </w:rPr>
              <w:t>7. ESG / Sustainability DD</w:t>
            </w:r>
          </w:p>
        </w:tc>
        <w:tc>
          <w:tcPr>
            <w:tcW w:type="dxa" w:w="4320"/>
          </w:tcPr>
          <w:p>
            <w:r>
              <w:rPr>
                <w:sz w:val="17"/>
              </w:rPr>
            </w:r>
            <w:r>
              <w:rPr>
                <w:sz w:val="17"/>
              </w:rPr>
              <w:t>🟢 Green</w:t>
            </w:r>
          </w:p>
        </w:tc>
      </w:tr>
    </w:tbl>
    <w:p/>
    <w:p>
      <w:pPr>
        <w:jc w:val="both"/>
      </w:pPr>
      <w:r>
        <w:rPr>
          <w:b/>
        </w:rPr>
        <w:t>الخلاصة الموحَّدة:</w:t>
      </w:r>
      <w:r>
        <w:t xml:space="preserve"> يتمتّع المشروع بمنطق داخلي عالٍ، وملكية فكرية محميَّة، وحيّز سوقي ذي صلة، وأثر اجتماعي-اقتصادي قويّ. عامل المخاطرة الرئيس </w:t>
      </w:r>
      <w:r>
        <w:rPr>
          <w:b/>
        </w:rPr>
        <w:t>تنظيمي (الطابع الثنائي لإقرار التعديلات على 86-FZ و259-FZ)</w:t>
      </w:r>
      <w:r>
        <w:t>. مع معالجة ملاحظات amber (الخطة واضحة)، يمكن التوصية بالمشروع للتمويل الأولي.</w:t>
      </w:r>
    </w:p>
    <w:p>
      <w:pPr>
        <w:pStyle w:val="Heading2"/>
      </w:pPr>
      <w:r>
        <w:t>2. Commercial Due Diligence</w:t>
      </w:r>
    </w:p>
    <w:p>
      <w:pPr>
        <w:pStyle w:val="Heading3"/>
      </w:pPr>
      <w:r>
        <w:t>2.1. تحليل المنتج</w:t>
      </w:r>
    </w:p>
    <w:p>
      <w:pPr>
        <w:jc w:val="both"/>
      </w:pPr>
      <w:r>
        <w:t xml:space="preserve">CPFSR منصة front-end / وكيل لإصدار DFA بضمان أصول، تعمل ببنية ذات مرحلتين. </w:t>
      </w:r>
      <w:r>
        <w:rPr>
          <w:b/>
        </w:rPr>
        <w:t>المرحلة 1 (pilot-light 2028–2029):</w:t>
      </w:r>
      <w:r>
        <w:t xml:space="preserve"> تُجرى عمليات الطرح عبر شراكة تقنية مع مشغّل قائم لنظام معلومات إصدار DFA وفق 779-P (كيان قائم مدرَج في السجل — ترخيص 779-P فردي وغير قابل للنقل)؛ التمويل عبر مصنع تمويل المشاريع VEB.RF (قرار الحكومة رقم 158) والخزانة الفيدرالية وفق قانون الميزانية. لا يُتوقّع إصدار إضافي من بنك روسيا في المرحلة 1؛ بنك روسيا هو المنظِّم الإشرافي بموجب المادة 4 من القانون 86-FZ. </w:t>
      </w:r>
      <w:r>
        <w:rPr>
          <w:b/>
        </w:rPr>
        <w:t>المرحلة 2 (أفق 2029+):</w:t>
      </w:r>
      <w:r>
        <w:t xml:space="preserve"> توسيع التفويض إلى نموذج الإصدار المضمون المستهدف بضمان pool من DFA المرهونة — أفق قابل للدفاع، يُنفَّذ بعد سجل أعمال إيجابي للمرحلة 1 ≥ 12 شهرًا وإقرار حزمة 4 قوانين اتحادية. لم يُكشف عن أيّ مشابه لهذه البنية ذات المرحلتين في المصادر العامّة لا في الاتحاد الروسي ولا في الأسواق الدولية.</w:t>
      </w:r>
    </w:p>
    <w:p>
      <w:pPr>
        <w:pStyle w:val="Heading3"/>
      </w:pPr>
      <w:r>
        <w:t>2.2. تحليل السوق</w:t>
      </w:r>
    </w:p>
    <w:p>
      <w:pPr>
        <w:pStyle w:val="ListBullet"/>
      </w:pPr>
      <w:r>
        <w:t xml:space="preserve">إجمالي قيمة العقارات في الاتحاد الروسي ≈ </w:t>
      </w:r>
      <w:r>
        <w:rPr>
          <w:b/>
        </w:rPr>
        <w:t>507 تريليون ₽</w:t>
      </w:r>
      <w:r>
        <w:t>.</w:t>
      </w:r>
    </w:p>
    <w:p>
      <w:pPr>
        <w:pStyle w:val="ListBullet"/>
      </w:pPr>
      <w:r>
        <w:t xml:space="preserve">قاعدة الضمانات المحافظة — </w:t>
      </w:r>
      <w:r>
        <w:rPr>
          <w:b/>
        </w:rPr>
        <w:t>25.5 تريليون ₽</w:t>
      </w:r>
      <w:r>
        <w:t>.</w:t>
      </w:r>
    </w:p>
    <w:p>
      <w:pPr>
        <w:pStyle w:val="ListBullet"/>
      </w:pPr>
      <w:r>
        <w:t xml:space="preserve">النفاذ السوقي المستهدف عند السنة 10 — 20 % (~5 تريليون ₽)، أيّ ما يعادل </w:t>
      </w:r>
      <w:r>
        <w:rPr>
          <w:b/>
        </w:rPr>
        <w:t>~3 % من الناتج المحلي الاسمي السنوي للاتحاد الروسي</w:t>
      </w:r>
      <w:r>
        <w:t>.</w:t>
      </w:r>
    </w:p>
    <w:p>
      <w:pPr>
        <w:pStyle w:val="ListBullet"/>
      </w:pPr>
      <w:r>
        <w:t>لا يوجد منافسون بنموذج مماثل اليوم.</w:t>
      </w:r>
    </w:p>
    <w:p>
      <w:pPr>
        <w:pStyle w:val="Heading3"/>
      </w:pPr>
      <w:r>
        <w:t>2.3. البيئة التنافسية</w:t>
      </w:r>
    </w:p>
    <w:p>
      <w:pPr>
        <w:pStyle w:val="ListBullet"/>
      </w:pPr>
      <w:r>
        <w:t>السوق الداخلي لـ DFA ينمو؛ مشغّلو السجل 779-P الحاليون: Sber، Alfa، Atomyze، Masterchain. في المرحلة 1 تعمل CPFSR بصفتها front-end / وكيل عبر شراكة تقنية مع أحدهم؛ لا منافسة على مستوى الترخيص.</w:t>
      </w:r>
    </w:p>
    <w:p>
      <w:pPr>
        <w:pStyle w:val="ListBullet"/>
      </w:pPr>
      <w:r>
        <w:t>تمايز CPFSR هو بنية الـ wedge: ترتبط طروحات DFA بتمويل البنية التحتية عبر مصنع VEB.RF + الخزانة الفيدرالية، ما يحوّل المشغّل الشريك إلى قناة توزيع وCPFSR إلى طبقة بنية تحتية متخصصة للمشاريع المستهدفة بضمان.</w:t>
      </w:r>
    </w:p>
    <w:p>
      <w:pPr>
        <w:pStyle w:val="ListBullet"/>
      </w:pPr>
      <w:r>
        <w:t>المراجع الدولية (Securitize، Polymath، HQLAx) — تورين أصول عام دون تمويل حكومي مستهدف.</w:t>
      </w:r>
    </w:p>
    <w:p>
      <w:pPr>
        <w:pStyle w:val="Heading3"/>
      </w:pPr>
      <w:r>
        <w:t>2.4. الشراكات الاستراتيجية</w:t>
      </w:r>
    </w:p>
    <w:p>
      <w:pPr>
        <w:pStyle w:val="ListBullet"/>
      </w:pPr>
      <w:r>
        <w:t>يُفترض العمل مع بنك روسيا، MinFin، MinCifra، الخزانة الفيدرالية، Rosfinmonitoring — جميع العقد الحكومية الرئيسة.</w:t>
      </w:r>
    </w:p>
    <w:p>
      <w:pPr>
        <w:pStyle w:val="ListBullet"/>
      </w:pPr>
      <w:r>
        <w:t>شبكة شركاء من المقيّمين وشركات التأمين — يحتمل أن تتجاوز 100 منظّمة.</w:t>
      </w:r>
    </w:p>
    <w:p>
      <w:pPr>
        <w:pStyle w:val="Heading3"/>
      </w:pPr>
      <w:r>
        <w:t>2.5. خريطة أصحاب المصلحة / Government Champions</w:t>
      </w:r>
    </w:p>
    <w:p>
      <w:pPr>
        <w:jc w:val="both"/>
      </w:pPr>
      <w:r>
        <w:t xml:space="preserve">تستند GTM للمشروع إلى منطق wedge: بنك روسيا هو الجهة الأخيرة في المرحلة 1، لا الأولى. خريطة Champion اسمية (متزامنة مع </w:t>
      </w:r>
      <w:r>
        <w:rPr>
          <w:rFonts w:ascii="Consolas" w:hAnsi="Consolas"/>
          <w:sz w:val="18"/>
        </w:rPr>
        <w:t>_Мастер/Концепт.md § 1-ter</w:t>
      </w:r>
      <w:r>
        <w: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المرحلة</w:t>
            </w:r>
          </w:p>
        </w:tc>
        <w:tc>
          <w:tcPr>
            <w:tcW w:type="dxa" w:w="2160"/>
          </w:tcPr>
          <w:p>
            <w:r>
              <w:rPr>
                <w:b/>
                <w:sz w:val="17"/>
              </w:rPr>
            </w:r>
            <w:r>
              <w:rPr>
                <w:b/>
                <w:sz w:val="17"/>
              </w:rPr>
              <w:t>الشخص / الجهة</w:t>
            </w:r>
          </w:p>
        </w:tc>
        <w:tc>
          <w:tcPr>
            <w:tcW w:type="dxa" w:w="2160"/>
          </w:tcPr>
          <w:p>
            <w:r>
              <w:rPr>
                <w:b/>
                <w:sz w:val="17"/>
              </w:rPr>
            </w:r>
            <w:r>
              <w:rPr>
                <w:b/>
                <w:sz w:val="17"/>
              </w:rPr>
              <w:t>الدور في القمع</w:t>
            </w:r>
          </w:p>
        </w:tc>
        <w:tc>
          <w:tcPr>
            <w:tcW w:type="dxa" w:w="2160"/>
          </w:tcPr>
          <w:p>
            <w:r>
              <w:rPr>
                <w:b/>
                <w:sz w:val="17"/>
              </w:rPr>
            </w:r>
            <w:r>
              <w:rPr>
                <w:b/>
                <w:sz w:val="17"/>
              </w:rPr>
              <w:t>المرتكز</w:t>
            </w:r>
          </w:p>
        </w:tc>
      </w:tr>
      <w:tr>
        <w:tc>
          <w:tcPr>
            <w:tcW w:type="dxa" w:w="2160"/>
          </w:tcPr>
          <w:p>
            <w:r>
              <w:rPr>
                <w:sz w:val="17"/>
              </w:rPr>
            </w:r>
            <w:r>
              <w:rPr>
                <w:sz w:val="17"/>
              </w:rPr>
              <w:t>T+30</w:t>
            </w:r>
          </w:p>
        </w:tc>
        <w:tc>
          <w:tcPr>
            <w:tcW w:type="dxa" w:w="2160"/>
          </w:tcPr>
          <w:p>
            <w:r>
              <w:rPr>
                <w:sz w:val="17"/>
              </w:rPr>
            </w:r>
            <w:r>
              <w:rPr>
                <w:sz w:val="17"/>
              </w:rPr>
              <w:t>وزارة التنمية الاقتصادية (م. المسؤول المختص)</w:t>
            </w:r>
          </w:p>
        </w:tc>
        <w:tc>
          <w:tcPr>
            <w:tcW w:type="dxa" w:w="2160"/>
          </w:tcPr>
          <w:p>
            <w:r>
              <w:rPr>
                <w:sz w:val="17"/>
              </w:rPr>
            </w:r>
            <w:r>
              <w:rPr>
                <w:sz w:val="17"/>
              </w:rPr>
              <w:t>Named sponsor؛ الإدراج في المشاريع الوطنية</w:t>
            </w:r>
          </w:p>
        </w:tc>
        <w:tc>
          <w:tcPr>
            <w:tcW w:type="dxa" w:w="2160"/>
          </w:tcPr>
          <w:p>
            <w:r>
              <w:rPr>
                <w:sz w:val="17"/>
              </w:rPr>
            </w:r>
            <w:r>
              <w:rPr>
                <w:sz w:val="17"/>
              </w:rPr>
              <w:t>شريحة «Government Champions» في Pitch_deck</w:t>
            </w:r>
          </w:p>
        </w:tc>
      </w:tr>
      <w:tr>
        <w:tc>
          <w:tcPr>
            <w:tcW w:type="dxa" w:w="2160"/>
          </w:tcPr>
          <w:p>
            <w:r>
              <w:rPr>
                <w:sz w:val="17"/>
              </w:rPr>
            </w:r>
            <w:r>
              <w:rPr>
                <w:sz w:val="17"/>
              </w:rPr>
              <w:t>T+30</w:t>
            </w:r>
          </w:p>
        </w:tc>
        <w:tc>
          <w:tcPr>
            <w:tcW w:type="dxa" w:w="2160"/>
          </w:tcPr>
          <w:p>
            <w:r>
              <w:rPr>
                <w:sz w:val="17"/>
              </w:rPr>
            </w:r>
            <w:r>
              <w:rPr>
                <w:sz w:val="17"/>
              </w:rPr>
              <w:t>ديوان الحكومة</w:t>
            </w:r>
          </w:p>
        </w:tc>
        <w:tc>
          <w:tcPr>
            <w:tcW w:type="dxa" w:w="2160"/>
          </w:tcPr>
          <w:p>
            <w:r>
              <w:rPr>
                <w:sz w:val="17"/>
              </w:rPr>
            </w:r>
            <w:r>
              <w:rPr>
                <w:sz w:val="17"/>
              </w:rPr>
              <w:t>إطار معماري</w:t>
            </w:r>
          </w:p>
        </w:tc>
        <w:tc>
          <w:tcPr>
            <w:tcW w:type="dxa" w:w="2160"/>
          </w:tcPr>
          <w:p>
            <w:r>
              <w:rPr>
                <w:sz w:val="17"/>
              </w:rPr>
            </w:r>
            <w:r>
              <w:rPr>
                <w:sz w:val="17"/>
              </w:rPr>
              <w:t>المفهوم § 1-bis</w:t>
            </w:r>
          </w:p>
        </w:tc>
      </w:tr>
      <w:tr>
        <w:tc>
          <w:tcPr>
            <w:tcW w:type="dxa" w:w="2160"/>
          </w:tcPr>
          <w:p>
            <w:r>
              <w:rPr>
                <w:sz w:val="17"/>
              </w:rPr>
            </w:r>
            <w:r>
              <w:rPr>
                <w:sz w:val="17"/>
              </w:rPr>
              <w:t>T+30</w:t>
            </w:r>
          </w:p>
        </w:tc>
        <w:tc>
          <w:tcPr>
            <w:tcW w:type="dxa" w:w="2160"/>
          </w:tcPr>
          <w:p>
            <w:r>
              <w:rPr>
                <w:sz w:val="17"/>
              </w:rPr>
            </w:r>
            <w:r>
              <w:rPr>
                <w:sz w:val="17"/>
              </w:rPr>
              <w:t>JSC «Atomyze»</w:t>
            </w:r>
          </w:p>
        </w:tc>
        <w:tc>
          <w:tcPr>
            <w:tcW w:type="dxa" w:w="2160"/>
          </w:tcPr>
          <w:p>
            <w:r>
              <w:rPr>
                <w:sz w:val="17"/>
              </w:rPr>
            </w:r>
            <w:r>
              <w:rPr>
                <w:sz w:val="17"/>
              </w:rPr>
              <w:t>شريك تقني 779-P</w:t>
            </w:r>
          </w:p>
        </w:tc>
        <w:tc>
          <w:tcPr>
            <w:tcW w:type="dxa" w:w="2160"/>
          </w:tcPr>
          <w:p>
            <w:r>
              <w:rPr>
                <w:sz w:val="17"/>
              </w:rPr>
            </w:r>
            <w:r>
              <w:rPr>
                <w:sz w:val="17"/>
              </w:rPr>
              <w:t>مسودة إطارية</w:t>
            </w:r>
          </w:p>
        </w:tc>
      </w:tr>
      <w:tr>
        <w:tc>
          <w:tcPr>
            <w:tcW w:type="dxa" w:w="2160"/>
          </w:tcPr>
          <w:p>
            <w:r>
              <w:rPr>
                <w:sz w:val="17"/>
              </w:rPr>
            </w:r>
            <w:r>
              <w:rPr>
                <w:sz w:val="17"/>
              </w:rPr>
              <w:t>T+90</w:t>
            </w:r>
          </w:p>
        </w:tc>
        <w:tc>
          <w:tcPr>
            <w:tcW w:type="dxa" w:w="2160"/>
          </w:tcPr>
          <w:p>
            <w:r>
              <w:rPr>
                <w:sz w:val="17"/>
              </w:rPr>
            </w:r>
            <w:r>
              <w:rPr>
                <w:sz w:val="17"/>
              </w:rPr>
              <w:t>MinFin (المسؤول المختص)</w:t>
            </w:r>
          </w:p>
        </w:tc>
        <w:tc>
          <w:tcPr>
            <w:tcW w:type="dxa" w:w="2160"/>
          </w:tcPr>
          <w:p>
            <w:r>
              <w:rPr>
                <w:sz w:val="17"/>
              </w:rPr>
            </w:r>
            <w:r>
              <w:rPr>
                <w:sz w:val="17"/>
              </w:rPr>
              <w:t>قناة خارج الميزانية، ضغط OFZ</w:t>
            </w:r>
          </w:p>
        </w:tc>
        <w:tc>
          <w:tcPr>
            <w:tcW w:type="dxa" w:w="2160"/>
          </w:tcPr>
          <w:p>
            <w:r>
              <w:rPr>
                <w:sz w:val="17"/>
              </w:rPr>
            </w:r>
            <w:r>
              <w:rPr>
                <w:sz w:val="17"/>
              </w:rPr>
              <w:t>النموذج المالي v3</w:t>
            </w:r>
          </w:p>
        </w:tc>
      </w:tr>
      <w:tr>
        <w:tc>
          <w:tcPr>
            <w:tcW w:type="dxa" w:w="2160"/>
          </w:tcPr>
          <w:p>
            <w:r>
              <w:rPr>
                <w:sz w:val="17"/>
              </w:rPr>
            </w:r>
            <w:r>
              <w:rPr>
                <w:sz w:val="17"/>
              </w:rPr>
              <w:t>T+90</w:t>
            </w:r>
          </w:p>
        </w:tc>
        <w:tc>
          <w:tcPr>
            <w:tcW w:type="dxa" w:w="2160"/>
          </w:tcPr>
          <w:p>
            <w:r>
              <w:rPr>
                <w:sz w:val="17"/>
              </w:rPr>
            </w:r>
            <w:r>
              <w:rPr>
                <w:sz w:val="17"/>
              </w:rPr>
              <w:t>MinFin (المسؤول المختص)</w:t>
            </w:r>
          </w:p>
        </w:tc>
        <w:tc>
          <w:tcPr>
            <w:tcW w:type="dxa" w:w="2160"/>
          </w:tcPr>
          <w:p>
            <w:r>
              <w:rPr>
                <w:sz w:val="17"/>
              </w:rPr>
            </w:r>
            <w:r>
              <w:rPr>
                <w:sz w:val="17"/>
              </w:rPr>
              <w:t>الموقف الضريبي لـ DFA</w:t>
            </w:r>
          </w:p>
        </w:tc>
        <w:tc>
          <w:tcPr>
            <w:tcW w:type="dxa" w:w="2160"/>
          </w:tcPr>
          <w:p>
            <w:r>
              <w:rPr>
                <w:sz w:val="17"/>
              </w:rPr>
            </w:r>
            <w:r>
              <w:rPr>
                <w:sz w:val="17"/>
              </w:rPr>
              <w:t>الإطار القانوني § 5</w:t>
            </w:r>
          </w:p>
        </w:tc>
      </w:tr>
      <w:tr>
        <w:tc>
          <w:tcPr>
            <w:tcW w:type="dxa" w:w="2160"/>
          </w:tcPr>
          <w:p>
            <w:r>
              <w:rPr>
                <w:sz w:val="17"/>
              </w:rPr>
            </w:r>
            <w:r>
              <w:rPr>
                <w:sz w:val="17"/>
              </w:rPr>
              <w:t>T+90</w:t>
            </w:r>
          </w:p>
        </w:tc>
        <w:tc>
          <w:tcPr>
            <w:tcW w:type="dxa" w:w="2160"/>
          </w:tcPr>
          <w:p>
            <w:r>
              <w:rPr>
                <w:sz w:val="17"/>
              </w:rPr>
            </w:r>
            <w:r>
              <w:rPr>
                <w:sz w:val="17"/>
              </w:rPr>
              <w:t>VEB.RF FPF</w:t>
            </w:r>
          </w:p>
        </w:tc>
        <w:tc>
          <w:tcPr>
            <w:tcW w:type="dxa" w:w="2160"/>
          </w:tcPr>
          <w:p>
            <w:r>
              <w:rPr>
                <w:sz w:val="17"/>
              </w:rPr>
            </w:r>
            <w:r>
              <w:rPr>
                <w:sz w:val="17"/>
              </w:rPr>
              <w:t>رسالة استشارية بموجب القرار 158</w:t>
            </w:r>
          </w:p>
        </w:tc>
        <w:tc>
          <w:tcPr>
            <w:tcW w:type="dxa" w:w="2160"/>
          </w:tcPr>
          <w:p>
            <w:r>
              <w:rPr>
                <w:sz w:val="17"/>
              </w:rPr>
            </w:r>
            <w:r>
              <w:rPr>
                <w:sz w:val="17"/>
              </w:rPr>
              <w:t>Pre-meeting_briefs/02</w:t>
            </w:r>
          </w:p>
        </w:tc>
      </w:tr>
      <w:tr>
        <w:tc>
          <w:tcPr>
            <w:tcW w:type="dxa" w:w="2160"/>
          </w:tcPr>
          <w:p>
            <w:r>
              <w:rPr>
                <w:sz w:val="17"/>
              </w:rPr>
            </w:r>
            <w:r>
              <w:rPr>
                <w:sz w:val="17"/>
              </w:rPr>
              <w:t>T+90</w:t>
            </w:r>
          </w:p>
        </w:tc>
        <w:tc>
          <w:tcPr>
            <w:tcW w:type="dxa" w:w="2160"/>
          </w:tcPr>
          <w:p>
            <w:r>
              <w:rPr>
                <w:sz w:val="17"/>
              </w:rPr>
            </w:r>
            <w:r>
              <w:rPr>
                <w:sz w:val="17"/>
              </w:rPr>
              <w:t>بنك شريك</w:t>
            </w:r>
          </w:p>
        </w:tc>
        <w:tc>
          <w:tcPr>
            <w:tcW w:type="dxa" w:w="2160"/>
          </w:tcPr>
          <w:p>
            <w:r>
              <w:rPr>
                <w:sz w:val="17"/>
              </w:rPr>
            </w:r>
            <w:r>
              <w:rPr>
                <w:sz w:val="17"/>
              </w:rPr>
              <w:t>MoU بنك تسوية</w:t>
            </w:r>
          </w:p>
        </w:tc>
        <w:tc>
          <w:tcPr>
            <w:tcW w:type="dxa" w:w="2160"/>
          </w:tcPr>
          <w:p>
            <w:r>
              <w:rPr>
                <w:sz w:val="17"/>
              </w:rPr>
            </w:r>
            <w:r>
              <w:rPr>
                <w:sz w:val="17"/>
              </w:rPr>
              <w:t>Pre-meeting_briefs/04</w:t>
            </w:r>
          </w:p>
        </w:tc>
      </w:tr>
      <w:tr>
        <w:tc>
          <w:tcPr>
            <w:tcW w:type="dxa" w:w="2160"/>
          </w:tcPr>
          <w:p>
            <w:r>
              <w:rPr>
                <w:sz w:val="17"/>
              </w:rPr>
            </w:r>
            <w:r>
              <w:rPr>
                <w:sz w:val="17"/>
              </w:rPr>
              <w:t>T+180</w:t>
            </w:r>
          </w:p>
        </w:tc>
        <w:tc>
          <w:tcPr>
            <w:tcW w:type="dxa" w:w="2160"/>
          </w:tcPr>
          <w:p>
            <w:r>
              <w:rPr>
                <w:sz w:val="17"/>
              </w:rPr>
            </w:r>
            <w:r>
              <w:rPr>
                <w:sz w:val="17"/>
              </w:rPr>
              <w:t>تتارستان (ر. المسؤول المختص)</w:t>
            </w:r>
          </w:p>
        </w:tc>
        <w:tc>
          <w:tcPr>
            <w:tcW w:type="dxa" w:w="2160"/>
          </w:tcPr>
          <w:p>
            <w:r>
              <w:rPr>
                <w:sz w:val="17"/>
              </w:rPr>
            </w:r>
            <w:r>
              <w:rPr>
                <w:sz w:val="17"/>
              </w:rPr>
              <w:t>MoU إقليمي (50–100 منشأة)</w:t>
            </w:r>
          </w:p>
        </w:tc>
        <w:tc>
          <w:tcPr>
            <w:tcW w:type="dxa" w:w="2160"/>
          </w:tcPr>
          <w:p>
            <w:r>
              <w:rPr>
                <w:sz w:val="17"/>
              </w:rPr>
            </w:r>
            <w:r>
              <w:rPr>
                <w:sz w:val="17"/>
              </w:rPr>
              <w:t>Pre-meeting_briefs/03</w:t>
            </w:r>
          </w:p>
        </w:tc>
      </w:tr>
      <w:tr>
        <w:tc>
          <w:tcPr>
            <w:tcW w:type="dxa" w:w="2160"/>
          </w:tcPr>
          <w:p>
            <w:r>
              <w:rPr>
                <w:sz w:val="17"/>
              </w:rPr>
            </w:r>
            <w:r>
              <w:rPr>
                <w:sz w:val="17"/>
              </w:rPr>
              <w:t>T+180</w:t>
            </w:r>
          </w:p>
        </w:tc>
        <w:tc>
          <w:tcPr>
            <w:tcW w:type="dxa" w:w="2160"/>
          </w:tcPr>
          <w:p>
            <w:r>
              <w:rPr>
                <w:sz w:val="17"/>
              </w:rPr>
            </w:r>
            <w:r>
              <w:rPr>
                <w:sz w:val="17"/>
              </w:rPr>
              <w:t>الدوما (المسؤول المختص)</w:t>
            </w:r>
          </w:p>
        </w:tc>
        <w:tc>
          <w:tcPr>
            <w:tcW w:type="dxa" w:w="2160"/>
          </w:tcPr>
          <w:p>
            <w:r>
              <w:rPr>
                <w:sz w:val="17"/>
              </w:rPr>
            </w:r>
            <w:r>
              <w:rPr>
                <w:sz w:val="17"/>
              </w:rPr>
              <w:t>استشارة بشأن 259-FZ</w:t>
            </w:r>
          </w:p>
        </w:tc>
        <w:tc>
          <w:tcPr>
            <w:tcW w:type="dxa" w:w="2160"/>
          </w:tcPr>
          <w:p>
            <w:r>
              <w:rPr>
                <w:sz w:val="17"/>
              </w:rPr>
            </w:r>
            <w:r>
              <w:rPr>
                <w:sz w:val="17"/>
              </w:rPr>
              <w:t>مذكّرة لبنك روسيا</w:t>
            </w:r>
          </w:p>
        </w:tc>
      </w:tr>
      <w:tr>
        <w:tc>
          <w:tcPr>
            <w:tcW w:type="dxa" w:w="2160"/>
          </w:tcPr>
          <w:p>
            <w:r>
              <w:rPr>
                <w:sz w:val="17"/>
              </w:rPr>
            </w:r>
            <w:r>
              <w:rPr>
                <w:sz w:val="17"/>
              </w:rPr>
              <w:t>T+180+</w:t>
            </w:r>
          </w:p>
        </w:tc>
        <w:tc>
          <w:tcPr>
            <w:tcW w:type="dxa" w:w="2160"/>
          </w:tcPr>
          <w:p>
            <w:r>
              <w:rPr>
                <w:sz w:val="17"/>
              </w:rPr>
            </w:r>
            <w:r>
              <w:rPr>
                <w:sz w:val="17"/>
              </w:rPr>
              <w:t>بنك روسيا</w:t>
            </w:r>
          </w:p>
        </w:tc>
        <w:tc>
          <w:tcPr>
            <w:tcW w:type="dxa" w:w="2160"/>
          </w:tcPr>
          <w:p>
            <w:r>
              <w:rPr>
                <w:sz w:val="17"/>
              </w:rPr>
            </w:r>
            <w:r>
              <w:rPr>
                <w:sz w:val="17"/>
              </w:rPr>
              <w:t>سجل مشغّلي نظام معلومات DFA وفق 779-P</w:t>
            </w:r>
          </w:p>
        </w:tc>
        <w:tc>
          <w:tcPr>
            <w:tcW w:type="dxa" w:w="2160"/>
          </w:tcPr>
          <w:p>
            <w:r>
              <w:rPr>
                <w:sz w:val="17"/>
              </w:rPr>
            </w:r>
            <w:r>
              <w:rPr>
                <w:sz w:val="17"/>
              </w:rPr>
              <w:t>الإطار القانوني § 8.1</w:t>
            </w:r>
          </w:p>
        </w:tc>
      </w:tr>
    </w:tbl>
    <w:p/>
    <w:p>
      <w:pPr>
        <w:jc w:val="both"/>
      </w:pPr>
      <w:r>
        <w:rPr>
          <w:b/>
        </w:rPr>
        <w:t>إشارة مخاطرة:</w:t>
      </w:r>
      <w:r>
        <w:t xml:space="preserve"> رفض واحد على الأقل من champions على مستوى وزير / نائب وزير → التراجع إلى المرحلة 2 / أفق 2029+، خسارة ≈ 24 شهرًا على حزمة 4 قوانين اتحادية.</w:t>
      </w:r>
    </w:p>
    <w:p>
      <w:pPr>
        <w:pStyle w:val="Heading3"/>
      </w:pPr>
      <w:r>
        <w:t>التقييم: 🟢 Green</w:t>
      </w:r>
    </w:p>
    <w:p>
      <w:pPr>
        <w:jc w:val="both"/>
      </w:pPr>
      <w:r>
        <w:t>نموذج عمل متين، سوق ضخم، لا منافسين. خريطة أصحاب المصلحة الاسمية معيار GTM tier-1 لمشاريع ذات أهمية دولتية.</w:t>
      </w:r>
    </w:p>
    <w:p>
      <w:pPr>
        <w:pStyle w:val="Heading3"/>
      </w:pPr>
      <w:r>
        <w:t>التوصيات</w:t>
      </w:r>
    </w:p>
    <w:p>
      <w:pPr>
        <w:pStyle w:val="ListNumber"/>
      </w:pPr>
      <w:r>
        <w:t>إعداد مذكّرات نوايا مع 2–3 بنوك شريكة رئيسة في مرحلة seed.</w:t>
      </w:r>
    </w:p>
    <w:p>
      <w:pPr>
        <w:pStyle w:val="ListNumber"/>
      </w:pPr>
      <w:r>
        <w:t>إعداد جزء تجريبي (مثلًا، الإسكان الفردي في إقليم موسكو) لـ PoC سريع.</w:t>
      </w:r>
    </w:p>
    <w:p>
      <w:pPr>
        <w:pStyle w:val="Heading2"/>
      </w:pPr>
      <w:r>
        <w:t>3. Legal Due Diligence</w:t>
      </w:r>
    </w:p>
    <w:p>
      <w:pPr>
        <w:pStyle w:val="Heading3"/>
      </w:pPr>
      <w:r>
        <w:t>3.1. حقوق الملكية الفكرية</w:t>
      </w:r>
    </w:p>
    <w:p>
      <w:pPr>
        <w:pStyle w:val="ListBullet"/>
      </w:pPr>
      <w:r>
        <w:t>المفهوم والمعرفة الفنية مودَعة (شهادة رقم 4011265 بتاريخ 19.12.2024، ireg.pro، GOST R 34.11-2012).</w:t>
      </w:r>
    </w:p>
    <w:p>
      <w:pPr>
        <w:pStyle w:val="ListBullet"/>
      </w:pPr>
      <w:r>
        <w:t>حقوق المؤلف تعود لـ كاغيروف أ.-خ. أ. حصرًا.</w:t>
      </w:r>
    </w:p>
    <w:p>
      <w:pPr>
        <w:pStyle w:val="ListBullet"/>
      </w:pPr>
      <w:r>
        <w:t>يُثبت الإيداع تاريخ الأسبقية. نظام الحماية القانونية — المعرفة الفنية (المادة 1465 من القانون المدني) والبرنامج (تسجيل لدى Rospatent قيد الإنجاز).</w:t>
      </w:r>
    </w:p>
    <w:p>
      <w:pPr>
        <w:jc w:val="both"/>
      </w:pPr>
      <w:r>
        <w:rPr>
          <w:b/>
        </w:rPr>
        <w:t>التقييم:</w:t>
      </w:r>
      <w:r>
        <w:t xml:space="preserve"> 🟢 — IP موَثَّقة ومحميَّة على النحو الصحيح.</w:t>
      </w:r>
    </w:p>
    <w:p>
      <w:pPr>
        <w:pStyle w:val="Heading3"/>
      </w:pPr>
      <w:r>
        <w:t>3.2. الامتثال التشريعي</w:t>
      </w:r>
    </w:p>
    <w:p>
      <w:pPr>
        <w:jc w:val="both"/>
      </w:pPr>
      <w:r>
        <w:t>ترتكز المنصة على:</w:t>
      </w:r>
    </w:p>
    <w:p>
      <w:pPr>
        <w:pStyle w:val="ListBullet"/>
      </w:pPr>
      <w:r>
        <w:t>القانون 259-FZ (DFA)؛</w:t>
      </w:r>
    </w:p>
    <w:p>
      <w:pPr>
        <w:pStyle w:val="ListBullet"/>
      </w:pPr>
      <w:r>
        <w:t>القانون 86-FZ (بنك روسيا، بصيغته في 340-FZ بشأن الروبل الرقمي)؛</w:t>
      </w:r>
    </w:p>
    <w:p>
      <w:pPr>
        <w:pStyle w:val="ListBullet"/>
      </w:pPr>
      <w:r>
        <w:t>القانون 161-FZ (نظام المدفوعات الوطني)؛</w:t>
      </w:r>
    </w:p>
    <w:p>
      <w:pPr>
        <w:pStyle w:val="ListBullet"/>
      </w:pPr>
      <w:r>
        <w:t>القانون 115-FZ (مكافحة غسل الأموال وتمويل الإرهاب)؛</w:t>
      </w:r>
    </w:p>
    <w:p>
      <w:pPr>
        <w:pStyle w:val="ListBullet"/>
      </w:pPr>
      <w:r>
        <w:t>القانون 152-FZ (البيانات الشخصية)؛</w:t>
      </w:r>
    </w:p>
    <w:p>
      <w:pPr>
        <w:pStyle w:val="ListBullet"/>
      </w:pPr>
      <w:r>
        <w:t>القانون 187-FZ (KII)؛</w:t>
      </w:r>
    </w:p>
    <w:p>
      <w:pPr>
        <w:pStyle w:val="ListBullet"/>
      </w:pPr>
      <w:r>
        <w:t>القانون المدني (الرهن، escrow، smart-contract)؛</w:t>
      </w:r>
    </w:p>
    <w:p>
      <w:pPr>
        <w:pStyle w:val="ListBullet"/>
      </w:pPr>
      <w:r>
        <w:t>لوائح بنك روسيا 779-P، 780-P، 683-P.</w:t>
      </w:r>
    </w:p>
    <w:p>
      <w:pPr>
        <w:jc w:val="both"/>
      </w:pPr>
      <w:r>
        <w:rPr>
          <w:b/>
        </w:rPr>
        <w:t>التقييم:</w:t>
      </w:r>
      <w:r>
        <w:t xml:space="preserve"> 🟢 — الهيكل الأساسي قائم في القانون النافذ.</w:t>
      </w:r>
    </w:p>
    <w:p>
      <w:pPr>
        <w:pStyle w:val="Heading3"/>
      </w:pPr>
      <w:r>
        <w:t>3.3. الإجراءات التنظيمية اللازمة</w:t>
      </w:r>
    </w:p>
    <w:p>
      <w:pPr>
        <w:jc w:val="both"/>
      </w:pPr>
      <w:r>
        <w:rPr>
          <w:b/>
        </w:rPr>
        <w:t>المرحلة 1 (2026–2028) — دون تعديل القوانين الاتحادية.</w:t>
      </w:r>
      <w:r>
        <w:t xml:space="preserve"> إطلاق المحيط القريب ممكن في الإطار القانوني الراهن:</w:t>
      </w:r>
    </w:p>
    <w:p>
      <w:pPr>
        <w:pStyle w:val="ListBullet"/>
      </w:pPr>
      <w:r>
        <w:t>259-FZ + لائحة بنك روسيا 779-P / توجيه 4336-U — مشغّل عبر شراكة تقنية؛</w:t>
      </w:r>
    </w:p>
    <w:p>
      <w:pPr>
        <w:pStyle w:val="ListBullet"/>
      </w:pPr>
      <w:r>
        <w:t>قرار الحكومة رقم 158 بتاريخ 15.02.2018 — التمويل عبر مصنع تمويل المشاريع VEB.RF؛</w:t>
      </w:r>
    </w:p>
    <w:p>
      <w:pPr>
        <w:pStyle w:val="ListBullet"/>
      </w:pPr>
      <w:r>
        <w:t>قانون الميزانية في الاتحاد الروسي — التسويات عبر الخزانة الفيدرالية؛</w:t>
      </w:r>
    </w:p>
    <w:p>
      <w:pPr>
        <w:pStyle w:val="ListBullet"/>
      </w:pPr>
      <w:r>
        <w:t>القانون المدني — الرهن وescrow.</w:t>
      </w:r>
    </w:p>
    <w:p>
      <w:pPr>
        <w:jc w:val="both"/>
      </w:pPr>
      <w:r>
        <w:rPr>
          <w:b/>
        </w:rPr>
        <w:t>المرحلة 2 (أفق 2029+) — حزمة 4 قوانين اتحادية + 6 لوائح فرعية</w:t>
      </w:r>
      <w:r>
        <w:t xml:space="preserve"> (انظر وثيقة «الإطار القانوني»، الأقسام 8.2 و8.3). شرط الدخول — سجل أعمال إيجابي للمرحلة 1 ≥ 12 شهرًا وموقف بين الإدارات Minéco / MinFin / VEB.RF / الدوما.</w:t>
      </w:r>
    </w:p>
    <w:p>
      <w:pPr>
        <w:jc w:val="both"/>
      </w:pPr>
      <w:r>
        <w:rPr>
          <w:b/>
        </w:rPr>
        <w:t>التقييم:</w:t>
      </w:r>
      <w:r>
        <w:t xml:space="preserve"> 🟡 Amber — لا تحمل المرحلة 1 مخاطرة تنظيمية ثنائية وتُنفَّذ في الإطار الراهن؛ المرحلة 2 أفق قابل للدفاع ولا يعرقل خريطة الاستثمار القريبة.</w:t>
      </w:r>
    </w:p>
    <w:p>
      <w:pPr>
        <w:pStyle w:val="Heading3"/>
      </w:pPr>
      <w:r>
        <w:t>3.4. الهيكل المؤسسي للمشغّل</w:t>
      </w:r>
    </w:p>
    <w:p>
      <w:pPr>
        <w:pStyle w:val="ListBullet"/>
      </w:pPr>
      <w:r>
        <w:t>لم يُؤسَّس الشخص الاعتباري للمشغّل عند موعد DD.</w:t>
      </w:r>
    </w:p>
    <w:p>
      <w:pPr>
        <w:pStyle w:val="ListBullet"/>
      </w:pPr>
      <w:r>
        <w:t>الصيغة المطلوبة: JSC أو SARL (وفق 779-P).</w:t>
      </w:r>
    </w:p>
    <w:p>
      <w:pPr>
        <w:pStyle w:val="ListBullet"/>
      </w:pPr>
      <w:r>
        <w:t>رأس المال الأدنى — 50 مليون ₽ عند الدخول، 500 مليون ₽ للطور الصناعي.</w:t>
      </w:r>
    </w:p>
    <w:p>
      <w:pPr>
        <w:jc w:val="both"/>
      </w:pPr>
      <w:r>
        <w:rPr>
          <w:b/>
        </w:rPr>
        <w:t>التقييم:</w:t>
      </w:r>
      <w:r>
        <w:t xml:space="preserve"> 🟡 — إنشاء الشخص الاعتباري للمشغّل مهمّة الأيام التسعين الأولى بعد الجولة.</w:t>
      </w:r>
    </w:p>
    <w:p>
      <w:pPr>
        <w:pStyle w:val="Heading3"/>
      </w:pPr>
      <w:r>
        <w:t>3.5. الترخيص</w:t>
      </w:r>
    </w:p>
    <w:p>
      <w:pPr>
        <w:pStyle w:val="ListBullet"/>
      </w:pPr>
      <w:r>
        <w:t>الإدراج في سجل بنك روسيا لمشغّلي نظم المعلومات (المادة 5 من 259-FZ + لائحة 779-P).</w:t>
      </w:r>
    </w:p>
    <w:p>
      <w:pPr>
        <w:pStyle w:val="ListBullet"/>
      </w:pPr>
      <w:r>
        <w:t>اعتمادات SZI من FSTEC / FSB.</w:t>
      </w:r>
    </w:p>
    <w:p>
      <w:pPr>
        <w:pStyle w:val="ListBullet"/>
      </w:pPr>
      <w:r>
        <w:t>إخطار Roskomnadzor بوصف مشغّل بيانات شخصية.</w:t>
      </w:r>
    </w:p>
    <w:p>
      <w:pPr>
        <w:pStyle w:val="ListBullet"/>
      </w:pPr>
      <w:r>
        <w:t>إخطار FSTEC بوصف منشأة KII.</w:t>
      </w:r>
    </w:p>
    <w:p>
      <w:pPr>
        <w:jc w:val="both"/>
      </w:pPr>
      <w:r>
        <w:rPr>
          <w:b/>
        </w:rPr>
        <w:t>التقييم:</w:t>
      </w:r>
      <w:r>
        <w:t xml:space="preserve"> 🟡 — العملية واضحة لكن متعدّدة الخطوات، تستلزم 6–9 أشهر.</w:t>
      </w:r>
    </w:p>
    <w:p>
      <w:pPr>
        <w:pStyle w:val="Heading3"/>
      </w:pPr>
      <w:r>
        <w:t>3.6. اتفاقيات مع جهات حكومية</w:t>
      </w:r>
    </w:p>
    <w:p>
      <w:pPr>
        <w:jc w:val="both"/>
      </w:pPr>
      <w:r>
        <w:t>في موعد DD لا توجد اتفاقيات رسمية مع بنك روسيا، MinFin، الخزانة الفيدرالية — وهو طبيعي للمرحلة الراهنة (المفهوم).</w:t>
      </w:r>
    </w:p>
    <w:p>
      <w:pPr>
        <w:jc w:val="both"/>
      </w:pPr>
      <w:r>
        <w:rPr>
          <w:b/>
        </w:rPr>
        <w:t>التقييم:</w:t>
      </w:r>
      <w:r>
        <w:t xml:space="preserve"> 🟡 — مهمّة مرحلة الإعداد.</w:t>
      </w:r>
    </w:p>
    <w:p>
      <w:pPr>
        <w:pStyle w:val="Heading3"/>
      </w:pPr>
      <w:r>
        <w:t>نتيجة Legal DD: 🟡 Amber</w:t>
      </w:r>
    </w:p>
    <w:p>
      <w:pPr>
        <w:pStyle w:val="Heading3"/>
      </w:pPr>
      <w:r>
        <w:t>التوصيات</w:t>
      </w:r>
    </w:p>
    <w:p>
      <w:pPr>
        <w:pStyle w:val="ListNumber"/>
      </w:pPr>
      <w:r>
        <w:t>إنشاء الشخص الاعتباري للمشغّل في الأيام التسعين الأولى.</w:t>
      </w:r>
    </w:p>
    <w:p>
      <w:pPr>
        <w:pStyle w:val="ListNumber"/>
      </w:pPr>
      <w:r>
        <w:t>توظيف مستشار قانوني من شركات الاستشارات الروسية الكبرى (Bryan Cave / Gorodissky / Pepeliaev).</w:t>
      </w:r>
    </w:p>
    <w:p>
      <w:pPr>
        <w:pStyle w:val="ListNumber"/>
      </w:pPr>
      <w:r>
        <w:t>إعداد مشاريع NPA وعرضها أمام بنك روسيا في الـ 180 يومًا الأولى.</w:t>
      </w:r>
    </w:p>
    <w:p>
      <w:pPr>
        <w:pStyle w:val="Heading2"/>
      </w:pPr>
      <w:r>
        <w:t>4. Financial Due Diligence</w:t>
      </w:r>
    </w:p>
    <w:p>
      <w:pPr>
        <w:pStyle w:val="Heading3"/>
      </w:pPr>
      <w:r>
        <w:t>4.1. النموذج المالي</w:t>
      </w:r>
    </w:p>
    <w:p>
      <w:pPr>
        <w:jc w:val="both"/>
      </w:pPr>
      <w:r>
        <w:t>نموذج عشر سنوات، بسيناريوهات BASE / CONSERVATIVE / OPTIMISTIC.</w:t>
      </w:r>
    </w:p>
    <w:p>
      <w:pPr>
        <w:jc w:val="both"/>
      </w:pPr>
      <w:r>
        <w:rPr>
          <w:b/>
        </w:rPr>
        <w:t>مؤشّرات KPI الرئيسة (BASE):</w:t>
      </w:r>
    </w:p>
    <w:p>
      <w:pPr>
        <w:pStyle w:val="ListBullet"/>
      </w:pPr>
      <w:r>
        <w:t xml:space="preserve">قيمة المشروع عند معدل 29.58 % = </w:t>
      </w:r>
      <w:r>
        <w:rPr>
          <w:b/>
        </w:rPr>
        <w:t>63.0 مليار ₽</w:t>
      </w:r>
      <w:r>
        <w:t>؛</w:t>
      </w:r>
    </w:p>
    <w:p>
      <w:pPr>
        <w:pStyle w:val="ListBullet"/>
      </w:pPr>
      <w:r>
        <w:t>معدل العائد الداخلي للمشروع — 182 % (غير صالح للتفاوض: النموذج لا يعكس التكلفة الكاملة لدخول السوق)؛</w:t>
      </w:r>
    </w:p>
    <w:p>
      <w:pPr>
        <w:pStyle w:val="ListBullet"/>
      </w:pPr>
      <w:r>
        <w:t xml:space="preserve">الاسترداد </w:t>
      </w:r>
      <w:r>
        <w:rPr>
          <w:b/>
        </w:rPr>
        <w:t>2.73 سنة</w:t>
      </w:r>
      <w:r>
        <w:t xml:space="preserve"> بسيطًا و</w:t>
      </w:r>
      <w:r>
        <w:rPr>
          <w:b/>
        </w:rPr>
        <w:t>3.05 سنة</w:t>
      </w:r>
      <w:r>
        <w:t xml:space="preserve"> مخصومًا؛</w:t>
      </w:r>
    </w:p>
    <w:p>
      <w:pPr>
        <w:pStyle w:val="ListBullet"/>
      </w:pPr>
      <w:r>
        <w:t xml:space="preserve">ذروة الحاجة للتمويل = </w:t>
      </w:r>
      <w:r>
        <w:rPr>
          <w:b/>
        </w:rPr>
        <w:t>1.70 مليار ₽</w:t>
      </w:r>
      <w:r>
        <w:t xml:space="preserve"> (نهاية 2028)؛ وجولة 1.8 مليار ₽ تغطيها بهامش 99 مليون ₽؛</w:t>
      </w:r>
    </w:p>
    <w:p>
      <w:pPr>
        <w:pStyle w:val="ListBullet"/>
      </w:pPr>
      <w:r>
        <w:t>إيراد السنة 5 (2031) = 39.0 مليار ₽؛</w:t>
      </w:r>
    </w:p>
    <w:p>
      <w:pPr>
        <w:pStyle w:val="ListBullet"/>
      </w:pPr>
      <w:r>
        <w:t>إيراد السنة 10 (2036) = 142.6 مليار ₽؛</w:t>
      </w:r>
    </w:p>
    <w:p>
      <w:pPr>
        <w:pStyle w:val="ListBullet"/>
      </w:pPr>
      <w:r>
        <w:t>هامش EBITDA في سنة النضج ≈ 75.1 % (يعكس الطابع التحت-بنيوي مع إضافات المصروفات للامتثال والأمن السيبراني والدعم القانوني).</w:t>
      </w:r>
    </w:p>
    <w:p>
      <w:pPr>
        <w:jc w:val="both"/>
      </w:pPr>
      <w:r>
        <w:rPr>
          <w:b/>
        </w:rPr>
        <w:t>فرضيات النموذج:</w:t>
      </w:r>
    </w:p>
    <w:p>
      <w:pPr>
        <w:pStyle w:val="ListBullet"/>
      </w:pPr>
      <w:r>
        <w:t>الحصة من 25 تريليون ₽ تنمو من 0.4 % في السنة 2 إلى 18 % في السنة 10.</w:t>
      </w:r>
    </w:p>
    <w:p>
      <w:pPr>
        <w:pStyle w:val="ListBullet"/>
      </w:pPr>
      <w:r>
        <w:t>متوسط عمولة إصدار DFA: 0.5 % من الاسمي.</w:t>
      </w:r>
    </w:p>
    <w:p>
      <w:pPr>
        <w:pStyle w:val="ListBullet"/>
      </w:pPr>
      <w:r>
        <w:t>عمولة الخدمة: 0.3 % سنويًّا من DFA المتداول.</w:t>
      </w:r>
    </w:p>
    <w:p>
      <w:pPr>
        <w:pStyle w:val="ListBullet"/>
      </w:pPr>
      <w:r>
        <w:t>النفقات الرأسمالية: 720 مليون ₽ خلال 18 شهرًا؛ والمصروفات التشغيلية: أساس 502 مليون ₽/سنة بفهرسة 4 %/سنة مضافًا إليه 22 % من الإيراد.</w:t>
      </w:r>
    </w:p>
    <w:p>
      <w:pPr>
        <w:pStyle w:val="ListBullet"/>
      </w:pPr>
      <w:r>
        <w:t>WACC: 29.5% (مستند إلى OFZ 10 سنوات + علاوة المخاطرة).</w:t>
      </w:r>
    </w:p>
    <w:p>
      <w:pPr>
        <w:pStyle w:val="Heading3"/>
      </w:pPr>
      <w:r>
        <w:t>4.2. الحساسية</w:t>
      </w:r>
    </w:p>
    <w:p>
      <w:pPr>
        <w:pStyle w:val="ListBullet"/>
      </w:pPr>
      <w:r>
        <w:t>WACC ±3 نقطة مئوية → NPV ±25 %؛</w:t>
      </w:r>
    </w:p>
    <w:p>
      <w:pPr>
        <w:pStyle w:val="ListBullet"/>
      </w:pPr>
      <w:r>
        <w:t>حصة السوق ×0.5 → NPV −27 %؛</w:t>
      </w:r>
    </w:p>
    <w:p>
      <w:pPr>
        <w:pStyle w:val="ListBullet"/>
      </w:pPr>
      <w:r>
        <w:t>العمولة ±20 % → NPV ±14.5%.</w:t>
      </w:r>
    </w:p>
    <w:p>
      <w:pPr>
        <w:jc w:val="both"/>
      </w:pPr>
      <w:r>
        <w:t xml:space="preserve">الحساسية غير متماثلة: حتى السيناريوهات المحافظة (حصة ×0.5؛ WACC 25 %) تعطي </w:t>
      </w:r>
      <w:r>
        <w:rPr>
          <w:b/>
        </w:rPr>
        <w:t>NPV ~57 مليار ₽</w:t>
      </w:r>
      <w:r>
        <w:t xml:space="preserve"> — النموذج صامد.</w:t>
      </w:r>
    </w:p>
    <w:p>
      <w:pPr>
        <w:pStyle w:val="Heading3"/>
      </w:pPr>
      <w:r>
        <w:t>4.3. فرضيات الإيراد</w:t>
      </w:r>
    </w:p>
    <w:p>
      <w:pPr>
        <w:pStyle w:val="ListBullet"/>
      </w:pPr>
      <w:r>
        <w:t>تتطوّر بنية الإيراد من عمولات الطرح الأولية (السنة 5: 39 %) إلى هامش الخدمة من DFA المتداولة (السنة 10: 58 %). نمط معتاد لمشغّل البنية التحتية، ويعني تنبّؤًا متزايدًا بتدفقات السيولة على الأفق.</w:t>
      </w:r>
    </w:p>
    <w:p>
      <w:pPr>
        <w:pStyle w:val="Heading3"/>
      </w:pPr>
      <w:r>
        <w:t>التقييم: 🟢 Green</w:t>
      </w:r>
    </w:p>
    <w:p>
      <w:pPr>
        <w:jc w:val="both"/>
      </w:pPr>
      <w:r>
        <w:t>نموذج دقيق، فرضيات معقولة، حساسية مُدرَّبة.</w:t>
      </w:r>
    </w:p>
    <w:p>
      <w:pPr>
        <w:pStyle w:val="Heading3"/>
      </w:pPr>
      <w:r>
        <w:t>التوصيات</w:t>
      </w:r>
    </w:p>
    <w:p>
      <w:pPr>
        <w:pStyle w:val="ListNumber"/>
      </w:pPr>
      <w:r>
        <w:t>دعم فرضيات العمولات بمرجعيات مشغّلي DFA الروس (Sber، Atomyze).</w:t>
      </w:r>
    </w:p>
    <w:p>
      <w:pPr>
        <w:pStyle w:val="ListNumber"/>
      </w:pPr>
      <w:r>
        <w:t>إعداد نموذج فصلي للـ 24 شهرًا الأولى لإدارة تدفقات النقد في المرحلة التجريبية.</w:t>
      </w:r>
    </w:p>
    <w:p>
      <w:pPr>
        <w:pStyle w:val="Heading2"/>
      </w:pPr>
      <w:r>
        <w:t>5. Technical Due Diligence</w:t>
      </w:r>
    </w:p>
    <w:p>
      <w:pPr>
        <w:pStyle w:val="Heading3"/>
      </w:pPr>
      <w:r>
        <w:t>5.1. المعمارية</w:t>
      </w:r>
    </w:p>
    <w:p>
      <w:pPr>
        <w:pStyle w:val="ListBullet"/>
      </w:pPr>
      <w:r>
        <w:t>معمارية microservices بسبع طبقات.</w:t>
      </w:r>
    </w:p>
    <w:p>
      <w:pPr>
        <w:pStyle w:val="ListBullet"/>
      </w:pPr>
      <w:r>
        <w:t>توزّع جغرافي: 3 مراكز بيانات active-active-active + احتياطي.</w:t>
      </w:r>
    </w:p>
    <w:p>
      <w:pPr>
        <w:pStyle w:val="ListBullet"/>
      </w:pPr>
      <w:r>
        <w:t>سجل DLT على منصة محلية.</w:t>
      </w:r>
    </w:p>
    <w:p>
      <w:pPr>
        <w:pStyle w:val="ListBullet"/>
      </w:pPr>
      <w:r>
        <w:t>استقلال استيرادي 100 %.</w:t>
      </w:r>
    </w:p>
    <w:p>
      <w:pPr>
        <w:pStyle w:val="Heading3"/>
      </w:pPr>
      <w:r>
        <w:t>5.2. الحزمة التقنية</w:t>
      </w:r>
    </w:p>
    <w:p>
      <w:pPr>
        <w:pStyle w:val="ListBullet"/>
      </w:pPr>
      <w:r>
        <w:t>Astra Linux Special Edition / RED OS.</w:t>
      </w:r>
    </w:p>
    <w:p>
      <w:pPr>
        <w:pStyle w:val="ListBullet"/>
      </w:pPr>
      <w:r>
        <w:t>Postgres Pro / Red DB / Tantor.</w:t>
      </w:r>
    </w:p>
    <w:p>
      <w:pPr>
        <w:pStyle w:val="ListBullet"/>
      </w:pPr>
      <w:r>
        <w:t>توزيع Kubernetes محلّي.</w:t>
      </w:r>
    </w:p>
    <w:p>
      <w:pPr>
        <w:pStyle w:val="ListBullet"/>
      </w:pPr>
      <w:r>
        <w:t>التشفير KriptoPro / VipNet.</w:t>
      </w:r>
    </w:p>
    <w:p>
      <w:pPr>
        <w:pStyle w:val="ListBullet"/>
      </w:pPr>
      <w:r>
        <w:t>Apache Kafka.</w:t>
      </w:r>
    </w:p>
    <w:p>
      <w:pPr>
        <w:jc w:val="both"/>
      </w:pPr>
      <w:r>
        <w:rPr>
          <w:b/>
        </w:rPr>
        <w:t>التقييم:</w:t>
      </w:r>
      <w:r>
        <w:t xml:space="preserve"> 🟢 — جميع المكوّنات واقعية، مدرَجة في سجل MinCifra أو معتَمَدة من FSTEC.</w:t>
      </w:r>
    </w:p>
    <w:p>
      <w:pPr>
        <w:pStyle w:val="Heading3"/>
      </w:pPr>
      <w:r>
        <w:t>5.3. سجل DLT</w:t>
      </w:r>
    </w:p>
    <w:p>
      <w:pPr>
        <w:pStyle w:val="ListBullet"/>
      </w:pPr>
      <w:r>
        <w:t>DLT permissioned بإجماع PBFT.</w:t>
      </w:r>
    </w:p>
    <w:p>
      <w:pPr>
        <w:pStyle w:val="ListBullet"/>
      </w:pPr>
      <w:r>
        <w:t>الربط مع Masterchain / Waves Enterprise — يلزم اختيار المزوّد في مرحلة التجربة.</w:t>
      </w:r>
    </w:p>
    <w:p>
      <w:pPr>
        <w:jc w:val="both"/>
      </w:pPr>
      <w:r>
        <w:rPr>
          <w:b/>
        </w:rPr>
        <w:t>التقييم:</w:t>
      </w:r>
      <w:r>
        <w:t xml:space="preserve"> 🟡 — اختيار مزوّد DLT قرار حاسم؛ يلزم PoC مع مرشَّحَين.</w:t>
      </w:r>
    </w:p>
    <w:p>
      <w:pPr>
        <w:pStyle w:val="Heading3"/>
      </w:pPr>
      <w:r>
        <w:t>5.4. الأمن</w:t>
      </w:r>
    </w:p>
    <w:p>
      <w:pPr>
        <w:pStyle w:val="ListBullet"/>
      </w:pPr>
      <w:r>
        <w:t>فئة KII 1.</w:t>
      </w:r>
    </w:p>
    <w:p>
      <w:pPr>
        <w:pStyle w:val="ListBullet"/>
      </w:pPr>
      <w:r>
        <w:t>GOST R 57580.1 المستوى 4.</w:t>
      </w:r>
    </w:p>
    <w:p>
      <w:pPr>
        <w:pStyle w:val="ListBullet"/>
      </w:pPr>
      <w:r>
        <w:t>مستوى حماية البيانات الشخصية UZ-1.</w:t>
      </w:r>
    </w:p>
    <w:p>
      <w:pPr>
        <w:jc w:val="both"/>
      </w:pPr>
      <w:r>
        <w:rPr>
          <w:b/>
        </w:rPr>
        <w:t>التقييم:</w:t>
      </w:r>
      <w:r>
        <w:t xml:space="preserve"> 🟡 — ملف طموح لكن قابل للتحقيق. يستلزم فريق IS قويًّا ونفقات اعتماد كبيرة.</w:t>
      </w:r>
    </w:p>
    <w:p>
      <w:pPr>
        <w:pStyle w:val="Heading3"/>
      </w:pPr>
      <w:r>
        <w:t>5.5. الفريق</w:t>
      </w:r>
    </w:p>
    <w:p>
      <w:pPr>
        <w:pStyle w:val="ListBullet"/>
      </w:pPr>
      <w:r>
        <w:t>الحجم المعلَن نهاية السنة 2 — 120 شخصًا.</w:t>
      </w:r>
    </w:p>
    <w:p>
      <w:pPr>
        <w:pStyle w:val="ListBullet"/>
      </w:pPr>
      <w:r>
        <w:t>في موعد DD الفريق غير مكتمل (طبيعي في هذه المرحلة).</w:t>
      </w:r>
    </w:p>
    <w:p>
      <w:pPr>
        <w:jc w:val="both"/>
      </w:pPr>
      <w:r>
        <w:rPr>
          <w:b/>
        </w:rPr>
        <w:t>التقييم:</w:t>
      </w:r>
      <w:r>
        <w:t xml:space="preserve"> 🟡 — توظيف 120 شخصًا في 12–18 شهرًا يستلزم موارد؛ التخفيف عبر شراكة مع مكامل كبير (KROK / IBS / Digital Economy League / ICL).</w:t>
      </w:r>
    </w:p>
    <w:p>
      <w:pPr>
        <w:pStyle w:val="Heading3"/>
      </w:pPr>
      <w:r>
        <w:t>نتيجة Technical DD: 🟡 Amber</w:t>
      </w:r>
    </w:p>
    <w:p>
      <w:pPr>
        <w:pStyle w:val="Heading3"/>
      </w:pPr>
      <w:r>
        <w:t>التوصيات</w:t>
      </w:r>
    </w:p>
    <w:p>
      <w:pPr>
        <w:pStyle w:val="ListNumber"/>
      </w:pPr>
      <w:r>
        <w:t>إطلاق PoC مع مزوّدَي DLT في الأيام التسعين الأولى.</w:t>
      </w:r>
    </w:p>
    <w:p>
      <w:pPr>
        <w:pStyle w:val="ListNumber"/>
      </w:pPr>
      <w:r>
        <w:t>إبرام اتفاق إطاري مع مكامل كبير لتوسيع الفريق.</w:t>
      </w:r>
    </w:p>
    <w:p>
      <w:pPr>
        <w:pStyle w:val="ListNumber"/>
      </w:pPr>
      <w:r>
        <w:t>في مرحلة MVP — التركيز على الخدمات الجوهرية (KYC، التقييم، إصدار DFA، السجل)، وتأجيل الباقي.</w:t>
      </w:r>
    </w:p>
    <w:p>
      <w:pPr>
        <w:pStyle w:val="Heading2"/>
      </w:pPr>
      <w:r>
        <w:t>6. Operational Due Diligence</w:t>
      </w:r>
    </w:p>
    <w:p>
      <w:pPr>
        <w:pStyle w:val="Heading3"/>
      </w:pPr>
      <w:r>
        <w:t>6.1. العمليات</w:t>
      </w:r>
    </w:p>
    <w:p>
      <w:pPr>
        <w:jc w:val="both"/>
      </w:pPr>
      <w:r>
        <w:t>دورة حياة DFA موصوفة في 19 خطوة وست مراحل رئيسة. العمليات مفصَّلة في الوثائق التقنية.</w:t>
      </w:r>
    </w:p>
    <w:p>
      <w:pPr>
        <w:pStyle w:val="Heading3"/>
      </w:pPr>
      <w:r>
        <w:t>6.2. شبكة الشركاء</w:t>
      </w:r>
    </w:p>
    <w:p>
      <w:pPr>
        <w:jc w:val="both"/>
      </w:pPr>
      <w:r>
        <w:t>يجب تكوين منظّمات تقييم وتأمين — في موعد DD ثمة خطة دون اتفاقيات موقَّعة.</w:t>
      </w:r>
    </w:p>
    <w:p>
      <w:pPr>
        <w:jc w:val="both"/>
      </w:pPr>
      <w:r>
        <w:rPr>
          <w:b/>
        </w:rPr>
        <w:t>التقييم:</w:t>
      </w:r>
      <w:r>
        <w:t xml:space="preserve"> 🟡 — يجب أن تظهر الاتفاقيات الأولى في الـ 180 يومًا الأولى.</w:t>
      </w:r>
    </w:p>
    <w:p>
      <w:pPr>
        <w:pStyle w:val="Heading3"/>
      </w:pPr>
      <w:r>
        <w:t>6.3. الفريق والاستقطاب</w:t>
      </w:r>
    </w:p>
    <w:p>
      <w:pPr>
        <w:jc w:val="both"/>
      </w:pPr>
      <w:r>
        <w:t>غير مكتمل. توظيف 120 شخصًا في 12–18 شهرًا — مهمّة واقعية بالشراكة الصحيحة.</w:t>
      </w:r>
    </w:p>
    <w:p>
      <w:pPr>
        <w:jc w:val="both"/>
      </w:pPr>
      <w:r>
        <w:rPr>
          <w:b/>
        </w:rPr>
        <w:t>التقييم:</w:t>
      </w:r>
      <w:r>
        <w:t xml:space="preserve"> 🟡 — مهمّة executive search.</w:t>
      </w:r>
    </w:p>
    <w:p>
      <w:pPr>
        <w:pStyle w:val="Heading3"/>
      </w:pPr>
      <w:r>
        <w:t>6.4. العمليات التنظيمية</w:t>
      </w:r>
    </w:p>
    <w:p>
      <w:pPr>
        <w:jc w:val="both"/>
      </w:pPr>
      <w:r>
        <w:t>الإبلاغ التنظيمي مفصَّل في الوثائق التقنية.</w:t>
      </w:r>
    </w:p>
    <w:p>
      <w:pPr>
        <w:jc w:val="both"/>
      </w:pPr>
      <w:r>
        <w:rPr>
          <w:b/>
        </w:rPr>
        <w:t>التقييم:</w:t>
      </w:r>
      <w:r>
        <w:t xml:space="preserve"> 🟢 — جاهز مفاهيميًّا؛ التنفيذ في مرحلة التطوير.</w:t>
      </w:r>
    </w:p>
    <w:p>
      <w:pPr>
        <w:pStyle w:val="Heading3"/>
      </w:pPr>
      <w:r>
        <w:t>نتيجة Operational DD: 🟡 Amber</w:t>
      </w:r>
    </w:p>
    <w:p>
      <w:pPr>
        <w:pStyle w:val="Heading3"/>
      </w:pPr>
      <w:r>
        <w:t>التوصيات</w:t>
      </w:r>
    </w:p>
    <w:p>
      <w:pPr>
        <w:pStyle w:val="ListNumber"/>
      </w:pPr>
      <w:r>
        <w:t>اختيار CEO وCTO في الأيام الستين الأولى؛ ثم نشر الهيكل التنظيمي.</w:t>
      </w:r>
    </w:p>
    <w:p>
      <w:pPr>
        <w:pStyle w:val="ListNumber"/>
      </w:pPr>
      <w:r>
        <w:t>إبرام اتفاقيات إطارية مع 2–3 شركات تقييم وشركتي تأمين في الـ 180 يومًا الأولى.</w:t>
      </w:r>
    </w:p>
    <w:p>
      <w:pPr>
        <w:pStyle w:val="Heading2"/>
      </w:pPr>
      <w:r>
        <w:t>7. Tax &amp; Regulatory Due Diligence</w:t>
      </w:r>
    </w:p>
    <w:p>
      <w:pPr>
        <w:pStyle w:val="Heading3"/>
      </w:pPr>
      <w:r>
        <w:t>7.1. النظام الضريبي</w:t>
      </w:r>
    </w:p>
    <w:p>
      <w:pPr>
        <w:jc w:val="both"/>
      </w:pPr>
      <w:r>
        <w:t>تخضع عمليات DFA لـ:</w:t>
      </w:r>
    </w:p>
    <w:p>
      <w:pPr>
        <w:pStyle w:val="ListBullet"/>
      </w:pPr>
      <w:r>
        <w:t>المادة 214.11 من قانون الضرائب (ضريبة الدخل الشخصي)؛</w:t>
      </w:r>
    </w:p>
    <w:p>
      <w:pPr>
        <w:pStyle w:val="ListBullet"/>
      </w:pPr>
      <w:r>
        <w:t>الفصل 25 من قانون الضرائب (ضريبة الأرباح)؛</w:t>
      </w:r>
    </w:p>
    <w:p>
      <w:pPr>
        <w:pStyle w:val="ListBullet"/>
      </w:pPr>
      <w:r>
        <w:t>الفقرة الفرعية 12.2 من البند 2 من المادة 149 (قانون 324-FZ بتاريخ 31.07.2020 — إعفاء عمليات DFA من ضريبة القيمة المضافة) (إعفاء جزئي).</w:t>
      </w:r>
    </w:p>
    <w:p>
      <w:pPr>
        <w:jc w:val="both"/>
      </w:pPr>
      <w:r>
        <w:rPr>
          <w:b/>
        </w:rPr>
        <w:t>التقييم:</w:t>
      </w:r>
      <w:r>
        <w:t xml:space="preserve"> 🟡 — تتشكّل الممارسة الضريبية بشأن DFA؛ يُوصى بالحصول على إيضاحات MinFin / FNS في مرحلة التجربة.</w:t>
      </w:r>
    </w:p>
    <w:p>
      <w:pPr>
        <w:pStyle w:val="Heading3"/>
      </w:pPr>
      <w:r>
        <w:t>7.2. الرسوم التنظيمية</w:t>
      </w:r>
    </w:p>
    <w:p>
      <w:pPr>
        <w:pStyle w:val="ListBullet"/>
      </w:pPr>
      <w:r>
        <w:t>بنك روسيا: لا رسوم ترخيص (دافعو رسوم الدولة منفصلون).</w:t>
      </w:r>
    </w:p>
    <w:p>
      <w:pPr>
        <w:pStyle w:val="ListBullet"/>
      </w:pPr>
      <w:r>
        <w:t>Rosfinmonitoring: دون رسوم خاصة.</w:t>
      </w:r>
    </w:p>
    <w:p>
      <w:pPr>
        <w:pStyle w:val="Heading3"/>
      </w:pPr>
      <w:r>
        <w:t>7.3. العبء الضريبي للنموذج</w:t>
      </w:r>
    </w:p>
    <w:p>
      <w:pPr>
        <w:pStyle w:val="ListBullet"/>
      </w:pPr>
      <w:r>
        <w:t>المعدل الفعلي لضريبة الأرباح: 25 % (ساري من 01.01.2025 بموجب القانون الاتحادي 176-FZ بتاريخ 12.07.2024)؛ وأقل في السنوات الرابحة الأولى بفضل ترحيل الخسائر.</w:t>
      </w:r>
    </w:p>
    <w:p>
      <w:pPr>
        <w:pStyle w:val="ListBullet"/>
      </w:pPr>
      <w:r>
        <w:t>مساهمات التأمين: 30 %.</w:t>
      </w:r>
    </w:p>
    <w:p>
      <w:pPr>
        <w:pStyle w:val="ListBullet"/>
      </w:pPr>
      <w:r>
        <w:t>ضريبة القيمة المضافة: انطباقها على العمليات يستلزم التوضيح.</w:t>
      </w:r>
    </w:p>
    <w:p>
      <w:pPr>
        <w:pStyle w:val="Heading3"/>
      </w:pPr>
      <w:r>
        <w:t>النتيجة: 🟡 Amber</w:t>
      </w:r>
    </w:p>
    <w:p>
      <w:pPr>
        <w:pStyle w:val="Heading3"/>
      </w:pPr>
      <w:r>
        <w:t>التوصيات</w:t>
      </w:r>
    </w:p>
    <w:p>
      <w:pPr>
        <w:pStyle w:val="ListNumber"/>
      </w:pPr>
      <w:r>
        <w:t>الحصول على إيضاحات MinFin بشأن ضريبة عمليات تبادل DFA.</w:t>
      </w:r>
    </w:p>
    <w:p>
      <w:pPr>
        <w:pStyle w:val="ListNumber"/>
      </w:pPr>
      <w:r>
        <w:t>الحصول على إيضاحات FNS بشأن محاسبة ضريبة الدخل الشخصي للعمليات.</w:t>
      </w:r>
    </w:p>
    <w:p>
      <w:pPr>
        <w:pStyle w:val="Heading2"/>
      </w:pPr>
      <w:r>
        <w:t>8. ESG / Sustainability Due Diligence</w:t>
      </w:r>
    </w:p>
    <w:p>
      <w:pPr>
        <w:pStyle w:val="Heading3"/>
      </w:pPr>
      <w:r>
        <w:t>8.1. الأثر الاجتماعي</w:t>
      </w:r>
    </w:p>
    <w:p>
      <w:pPr>
        <w:pStyle w:val="ListBullet"/>
      </w:pPr>
      <w:r>
        <w:t>تطوير المشاريع الوطنية — أثر اجتماعي ضخم.</w:t>
      </w:r>
    </w:p>
    <w:p>
      <w:pPr>
        <w:pStyle w:val="ListBullet"/>
      </w:pPr>
      <w:r>
        <w:t>دخل إضافي لمالكي الضمانات — الشمول المالي.</w:t>
      </w:r>
    </w:p>
    <w:p>
      <w:pPr>
        <w:pStyle w:val="ListBullet"/>
      </w:pPr>
      <w:r>
        <w:t>نموّ التوظيف في مشاريع البنية التحتية.</w:t>
      </w:r>
    </w:p>
    <w:p>
      <w:pPr>
        <w:pStyle w:val="Heading3"/>
      </w:pPr>
      <w:r>
        <w:t>8.2. الأثر البيئي</w:t>
      </w:r>
    </w:p>
    <w:p>
      <w:pPr>
        <w:pStyle w:val="ListBullet"/>
      </w:pPr>
      <w:r>
        <w:t>المنصة رقمية؛ الأثر البيئي الرئيس — استهلاك الطاقة في مراكز البيانات.</w:t>
      </w:r>
    </w:p>
    <w:p>
      <w:pPr>
        <w:pStyle w:val="ListBullet"/>
      </w:pPr>
      <w:r>
        <w:t>سجل DLT permissioned — محايد بيئيًّا بخلاف blockchains PoW.</w:t>
      </w:r>
    </w:p>
    <w:p>
      <w:pPr>
        <w:pStyle w:val="Heading3"/>
      </w:pPr>
      <w:r>
        <w:t>8.3. الحوكمة المؤسسية</w:t>
      </w:r>
    </w:p>
    <w:p>
      <w:pPr>
        <w:pStyle w:val="ListBullet"/>
      </w:pPr>
      <w:r>
        <w:t>هيكل شفّاف؛ جميع العمليات في سجل تدقيق غير قابل للتغيير.</w:t>
      </w:r>
    </w:p>
    <w:p>
      <w:pPr>
        <w:pStyle w:val="ListBullet"/>
      </w:pPr>
      <w:r>
        <w:t>الإشراف التنظيمي من بنك روسيا.</w:t>
      </w:r>
    </w:p>
    <w:p>
      <w:pPr>
        <w:pStyle w:val="Heading3"/>
      </w:pPr>
      <w:r>
        <w:t>النتيجة: 🟢 Green</w:t>
      </w:r>
    </w:p>
    <w:p>
      <w:pPr>
        <w:jc w:val="both"/>
      </w:pPr>
      <w:r>
        <w:t>ملف ESG قويّ؛ المشروع حالة ممتازة لتمويل ESG حكومي.</w:t>
      </w:r>
    </w:p>
    <w:p>
      <w:pPr>
        <w:pStyle w:val="Heading2"/>
      </w:pPr>
      <w:r>
        <w:t>9. القائمة الموحَّدة لأعلام Red وAmber</w:t>
      </w:r>
    </w:p>
    <w:p>
      <w:pPr>
        <w:pStyle w:val="Heading3"/>
      </w:pPr>
      <w:r>
        <w:t>أعلام Red (تستلزم الإزالة كشرط للصفقة)</w:t>
      </w:r>
    </w:p>
    <w:p>
      <w:pPr>
        <w:jc w:val="both"/>
      </w:pPr>
      <w:r>
        <w:t xml:space="preserve">في المرحلة الراهنة </w:t>
      </w:r>
      <w:r>
        <w:rPr>
          <w:b/>
        </w:rPr>
        <w:t>لم تُكشف أعلام حمراء حرجة</w:t>
      </w:r>
      <w:r>
        <w:t>. وقد نُقلت التبعية التنظيمية (تعديلات 86-FZ و259-FZ) إلى Amber بناءً على وجود خطة تخفيف.</w:t>
      </w:r>
    </w:p>
    <w:p>
      <w:pPr>
        <w:pStyle w:val="Heading3"/>
      </w:pPr>
      <w:r>
        <w:t>أعلام Amber (يجب اعتماد خطة في الـ 180 يومًا الأولى من closing)</w:t>
      </w:r>
    </w:p>
    <w:p>
      <w:pPr>
        <w:pStyle w:val="ListNumber"/>
      </w:pPr>
      <w:r>
        <w:t>غياب الشخص الاعتباري للمشغّل.</w:t>
      </w:r>
    </w:p>
    <w:p>
      <w:pPr>
        <w:pStyle w:val="ListNumber"/>
      </w:pPr>
      <w:r>
        <w:t>غياب ترخيص بنك روسيا (المدة المتوقعة للحصول — 12–15 شهرًا).</w:t>
      </w:r>
    </w:p>
    <w:p>
      <w:pPr>
        <w:pStyle w:val="ListNumber"/>
      </w:pPr>
      <w:r>
        <w:t>عدم اختيار مزوّد DLT.</w:t>
      </w:r>
    </w:p>
    <w:p>
      <w:pPr>
        <w:pStyle w:val="ListNumber"/>
      </w:pPr>
      <w:r>
        <w:t>عدم تكوين الفريق (120 شخصًا بنهاية السنة 2).</w:t>
      </w:r>
    </w:p>
    <w:p>
      <w:pPr>
        <w:pStyle w:val="ListNumber"/>
      </w:pPr>
      <w:r>
        <w:t>غياب اتفاقيات مع شركاء التقييم والتأمين.</w:t>
      </w:r>
    </w:p>
    <w:p>
      <w:pPr>
        <w:pStyle w:val="ListNumber"/>
      </w:pPr>
      <w:r>
        <w:t>عدم استقرار الممارسة الضريبية بشأن عمليات DFA.</w:t>
      </w:r>
    </w:p>
    <w:p>
      <w:pPr>
        <w:pStyle w:val="ListNumber"/>
      </w:pPr>
      <w:r>
        <w:t>مخاطرة تنظيمية ثنائية (حزمة NPA).</w:t>
      </w:r>
    </w:p>
    <w:p>
      <w:pPr>
        <w:pStyle w:val="Heading3"/>
      </w:pPr>
      <w:r>
        <w:t>توصيات بشأن هيكلة الصفقة</w:t>
      </w:r>
    </w:p>
    <w:p>
      <w:pPr>
        <w:pStyle w:val="ListNumber"/>
      </w:pPr>
      <w:r>
        <w:rPr>
          <w:b/>
        </w:rPr>
        <w:t>تقسيم الاستثمارات</w:t>
      </w:r>
      <w:r>
        <w:t xml:space="preserve"> وفق milestones (إنشاء الكيان، الحصول على الترخيص، إصدار أول DFA).</w:t>
      </w:r>
    </w:p>
    <w:p>
      <w:pPr>
        <w:pStyle w:val="ListNumber"/>
      </w:pPr>
      <w:r>
        <w:rPr>
          <w:b/>
        </w:rPr>
        <w:t>حجز 20 % من الجولة</w:t>
      </w:r>
      <w:r>
        <w:t xml:space="preserve"> للدعم القانوني المتوازي للـ NPA (مهمّة حرجة).</w:t>
      </w:r>
    </w:p>
    <w:p>
      <w:pPr>
        <w:pStyle w:val="ListNumber"/>
      </w:pPr>
      <w:r>
        <w:rPr>
          <w:b/>
        </w:rPr>
        <w:t>شرط الترخيص</w:t>
      </w:r>
      <w:r>
        <w:t>: الشريحة النهائية مرتبطة بالإدراج في سجل بنك روسيا لمشغّلي نظم معلومات DFA.</w:t>
      </w:r>
    </w:p>
    <w:p>
      <w:pPr>
        <w:pStyle w:val="ListNumber"/>
      </w:pPr>
      <w:r>
        <w:rPr>
          <w:b/>
        </w:rPr>
        <w:t>مجلس إدارة</w:t>
      </w:r>
      <w:r>
        <w:t xml:space="preserve"> المشغّل — بممثّلي المستثمر وأعضاء مستقلّين (30 % مستقلين على الأقل).</w:t>
      </w:r>
    </w:p>
    <w:p>
      <w:pPr>
        <w:pStyle w:val="ListNumber"/>
      </w:pPr>
      <w:r>
        <w:rPr>
          <w:b/>
        </w:rPr>
        <w:t>خطة خيارات الموظفين (ESOP)</w:t>
      </w:r>
      <w:r>
        <w:t xml:space="preserve"> بنسبة 10 % من pool — شرط إلزامي للاحتفاظ بالكوادر الرئيسة.</w:t>
      </w:r>
    </w:p>
    <w:p>
      <w:pPr>
        <w:pStyle w:val="Heading2"/>
      </w:pPr>
      <w:r>
        <w:t>10. الخلاصة النهائية</w:t>
      </w:r>
    </w:p>
    <w:p>
      <w:pPr>
        <w:jc w:val="both"/>
      </w:pPr>
      <w:r>
        <w:t xml:space="preserve">يُوصى بالمشروع </w:t>
      </w:r>
      <w:r>
        <w:rPr>
          <w:b/>
        </w:rPr>
        <w:t>للتمويل الأولي</w:t>
      </w:r>
      <w:r>
        <w:t xml:space="preserve"> بشرط:</w:t>
      </w:r>
    </w:p>
    <w:p>
      <w:pPr>
        <w:pStyle w:val="ListNumber"/>
      </w:pPr>
      <w:r>
        <w:t>إنشاء الشخص الاعتباري للمشغّل في الأيام التسعين الأولى.</w:t>
      </w:r>
    </w:p>
    <w:p>
      <w:pPr>
        <w:pStyle w:val="ListNumber"/>
      </w:pPr>
      <w:r>
        <w:t>خطة معتمَدة للحصول على ترخيص بنك روسيا بحلول الشهر 12.</w:t>
      </w:r>
    </w:p>
    <w:p>
      <w:pPr>
        <w:pStyle w:val="ListNumber"/>
      </w:pPr>
      <w:r>
        <w:t>خطة معتمَدة للعمل المتوازي مع المشرّعين على إقرار حزمة NPA.</w:t>
      </w:r>
    </w:p>
    <w:p>
      <w:pPr>
        <w:pStyle w:val="ListNumber"/>
      </w:pPr>
      <w:r>
        <w:t>اختيار CEO وCTO في الأيام الستين الأولى.</w:t>
      </w:r>
    </w:p>
    <w:p>
      <w:pPr>
        <w:pStyle w:val="ListNumber"/>
      </w:pPr>
      <w:r>
        <w:t>PoC لمزوّدَي DLT في الأيام التسعين الأولى.</w:t>
      </w:r>
    </w:p>
    <w:p>
      <w:pPr>
        <w:jc w:val="both"/>
      </w:pPr>
      <w:r>
        <w:rPr>
          <w:b/>
        </w:rPr>
        <w:t>الجولة المستهدفة:</w:t>
      </w:r>
      <w:r>
        <w:t xml:space="preserve"> 1.8 مليار ₽ (25 مليون $) — ذروة الحاجة المحسوبة 1.70 مليار ₽ يضاف إليها احتياطي. وعند قيمة دخول محسوبة قدرها 248 مليون $ (17.74 مليار ₽) وجولة قدرها 25 مليون $ تبلغ حصة المستثمر 9.21 %، وpost-money 273 مليون $. ونطاق قيمة الدخول حسب السيناريوهات 164–301 مليون $.</w:t>
      </w:r>
    </w:p>
    <w:p>
      <w:pPr>
        <w:jc w:val="both"/>
      </w:pPr>
      <w:r>
        <w:rPr>
          <w:b/>
        </w:rPr>
        <w:t>الحجّة الرئيسة:</w:t>
      </w:r>
      <w:r>
        <w:t xml:space="preserve"> حتى السيناريو المحافظ يعطي قيمة مشروع قدرها 20.1 مليار ₽ مقابل حاجة تمويلية قدرها 2.28 مليار ₽. وينبغي تسمية خطرين صراحةً: التنظيمي (ثنائي) وخطر الجدول الزمني — إذ تزيل كل سنة تأخير في الإطلاق نحو ربع القيمة وتضاعف تقريبًا الحاجة إلى المال.</w:t>
      </w:r>
    </w:p>
    <w:p>
      <w:pPr>
        <w:jc w:val="both"/>
      </w:pPr>
      <w:r>
        <w:rPr>
          <w:i/>
        </w:rPr>
        <w:t>أُعدّ تقرير DD ضمن حزمة وثائق مشروع «المنصة الرقمية CPFSR» وهو موجَّه للمستثمر ومجلس الإدارة والجهات التنظيمية لتقييم المشروع. لا يحلّ التقرير محلّ DD مستقلّ تجريه شركة تدقيق معتمَدة، وقد صُمِّم كملخّص منهجي وفق منهجية Big Four.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