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طلب عروض — Vendor Due Diligence (Big-4)</w:t>
      </w:r>
    </w:p>
    <w:p>
      <w:pPr>
        <w:ind w:left="360"/>
      </w:pPr>
      <w:r>
        <w:rPr>
          <w:b/>
          <w:i/>
          <w:color w:val="444444"/>
        </w:rPr>
        <w:t>ملاحظة.</w:t>
      </w:r>
      <w:r>
        <w:rPr>
          <w:i/>
          <w:color w:val="444444"/>
        </w:rPr>
        <w:t xml:space="preserve"> هذه الترجمة تتبع الأصل الروسي. أُعيد احتساب القسم المالي في الأصل بتاريخ 07.09.2026 (النموذج v5)، وقد وُوئمت أرقام هذه الترجمة مع ذلك الاحتساب. وعند أي اختلاف في الصياغة يُعتد بالنسخة الروسية.</w:t>
      </w:r>
    </w:p>
    <w:p>
      <w:pPr>
        <w:jc w:val="both"/>
      </w:pPr>
      <w:r>
        <w:rPr>
          <w:b/>
        </w:rPr>
        <w:t>المشروع:</w:t>
      </w:r>
      <w:r>
        <w:t xml:space="preserve"> المنصة الرقمية CPFSR — مشغِّل DFA بضمان عقاري مع إصدارات لخدمة المشاريع الوطنية </w:t>
      </w:r>
      <w:r>
        <w:rPr>
          <w:b/>
        </w:rPr>
        <w:t>العميل:</w:t>
      </w:r>
      <w:r>
        <w:t xml:space="preserve"> عبد الحكيم أحمدوفيتش كاغيروف (Center Group Company) — صاحب الحقوق الوحيد على المفهوم (شهادة الإيداع رقم 4011265 بتاريخ 19.12.2024) </w:t>
      </w:r>
      <w:r>
        <w:rPr>
          <w:b/>
        </w:rPr>
        <w:t>مرجع التكليف:</w:t>
      </w:r>
      <w:r>
        <w:t xml:space="preserve"> RSFSR-DD-2026 </w:t>
      </w:r>
      <w:r>
        <w:rPr>
          <w:b/>
        </w:rPr>
        <w:t>تاريخ إصدار طلب العروض:</w:t>
      </w:r>
      <w:r>
        <w:t xml:space="preserve"> 24.05.2026 </w:t>
      </w:r>
      <w:r>
        <w:rPr>
          <w:b/>
        </w:rPr>
        <w:t>الموعد النهائي لتقديم العروض:</w:t>
      </w:r>
      <w:r>
        <w:t xml:space="preserve"> T+21 يومًا (15.06.2026)</w:t>
      </w:r>
    </w:p>
    <w:p>
      <w:pPr>
        <w:pStyle w:val="Heading2"/>
      </w:pPr>
      <w:r>
        <w:t>1. هدف التكليف</w:t>
      </w:r>
    </w:p>
    <w:p>
      <w:pPr>
        <w:jc w:val="both"/>
      </w:pPr>
      <w:r>
        <w:t>الحصول على رأي مستقلّ لـ Vendor Due Diligence على مستوى tier-1 (Big-4) لمشروع CPFSR، بهدف تأمين الجاذبية الاستثمارية أمام جولة Seed استراتيجية بقيمة 15 مليون دولار أمريكي (pre-money 248 مليون دولار، post-money 273 مليون دولار، حصة المستثمر 9.21%)، والتحضير لجولة Series A.</w:t>
      </w:r>
    </w:p>
    <w:p>
      <w:pPr>
        <w:jc w:val="both"/>
      </w:pPr>
      <w:r>
        <w:t>ينبغي أن يستوفي الرأي معيار مذكّرات الاستثمار في صفقات tier-1 PE/VC، وأن يكون مقبولًا لدى الفئات التالية:</w:t>
      </w:r>
    </w:p>
    <w:p>
      <w:pPr>
        <w:pStyle w:val="ListBullet"/>
      </w:pPr>
      <w:r>
        <w:t>المستثمرون المؤسسيون في الاتحاد الروسي (صناديق التقاعد، شركات التأمين، البنوك الخاصة)</w:t>
      </w:r>
    </w:p>
    <w:p>
      <w:pPr>
        <w:pStyle w:val="ListBullet"/>
      </w:pPr>
      <w:r>
        <w:t>صناديق Private Equity / Venture Capital (في الاتحاد الروسي + EAEU + الولايات القضائية الصديقة)</w:t>
      </w:r>
    </w:p>
    <w:p>
      <w:pPr>
        <w:pStyle w:val="ListBullet"/>
      </w:pPr>
      <w:r>
        <w:t>لجان الائتمان في مؤسسات التنمية (VEB.RF، مصنع تمويل المشاريع)</w:t>
      </w:r>
    </w:p>
    <w:p>
      <w:pPr>
        <w:pStyle w:val="ListBullet"/>
      </w:pPr>
      <w:r>
        <w:t>لجان الامتثال الداخلية في Limited Partners المحتملين</w:t>
      </w:r>
    </w:p>
    <w:p>
      <w:pPr>
        <w:pStyle w:val="Heading2"/>
      </w:pPr>
      <w:r>
        <w:t>2. نطاق العمل</w:t>
      </w:r>
    </w:p>
    <w:p>
      <w:pPr>
        <w:pStyle w:val="Heading3"/>
      </w:pPr>
      <w:r>
        <w:t>2.1. Financial Due Diligence</w:t>
      </w:r>
    </w:p>
    <w:p>
      <w:pPr>
        <w:pStyle w:val="ListBullet"/>
      </w:pPr>
      <w:r>
        <w:rPr>
          <w:b/>
        </w:rPr>
        <w:t>Quality of Earnings (QoE):</w:t>
      </w:r>
      <w:r>
        <w:t xml:space="preserve"> تحليل النموذج المالي لأفق 2027–2036 + قيمة نهائية بطريقة غوردون على تدفق مُطبَّع. تحديد عمليات التطبيع، العناصر غير المتكررة، تعديلات رأس المال العامل.</w:t>
      </w:r>
    </w:p>
    <w:p>
      <w:pPr>
        <w:pStyle w:val="ListBullet"/>
      </w:pPr>
      <w:r>
        <w:rPr>
          <w:b/>
        </w:rPr>
        <w:t>التحقق من NPV / IRR / Payback:</w:t>
      </w:r>
      <w:r>
        <w:t xml:space="preserve"> إعادة احتساب مستقلّة لجميع المؤشرات الرئيسة (صافي القيمة الحالية الكامل 63.0 مليار ₽؛ وفترة الاسترداد 2.73 سنة بسيطة و3.05 سنة مخصومة؛ ومضاعف المستثمر 18.4×) استنادًا إلى النموذج المصدري في </w:t>
      </w:r>
      <w:r>
        <w:rPr>
          <w:rFonts w:ascii="Consolas" w:hAnsi="Consolas"/>
          <w:sz w:val="18"/>
        </w:rPr>
        <w:t>03_Финансовая_модель/</w:t>
      </w:r>
      <w:r>
        <w:t>.</w:t>
      </w:r>
    </w:p>
    <w:p>
      <w:pPr>
        <w:pStyle w:val="ListBullet"/>
      </w:pPr>
      <w:r>
        <w:rPr>
          <w:b/>
        </w:rPr>
        <w:t>التحقق من WACC:</w:t>
      </w:r>
      <w:r>
        <w:t xml:space="preserve"> فحص بنية build-up (RF 14.73% + ERP×β 10.35 % + Stage premium 1.5 % + Liquidity premium 2.5 % = 30 %) مقارنةً بـ Damodaran مايو 2026 ومعدل بنك روسيا الأساسي وبيانات سوق OFZ.</w:t>
      </w:r>
    </w:p>
    <w:p>
      <w:pPr>
        <w:pStyle w:val="ListBullet"/>
      </w:pPr>
      <w:r>
        <w:rPr>
          <w:b/>
        </w:rPr>
        <w:t>تحليل الحساسية والسيناريوهات:</w:t>
      </w:r>
      <w:r>
        <w:t xml:space="preserve"> محاكاة مستقلة (≥ 10,000 تكرار؛ ومحاكاة المشروع نفسها تُنفَّذ 2,000 تكرار ببذرة ثابتة)، مخطط tornado يشمل ≥ 8 محرّكات، اختبار إجهاد للسيولة التشغيلية.</w:t>
      </w:r>
    </w:p>
    <w:p>
      <w:pPr>
        <w:pStyle w:val="ListBullet"/>
      </w:pPr>
      <w:r>
        <w:rPr>
          <w:b/>
        </w:rPr>
        <w:t>الصفقات المقارنة:</w:t>
      </w:r>
      <w:r>
        <w:t xml:space="preserve"> تثليث التقييم عبر Comparable Multiples (EV/Revenue، EV/EBITDA، EV/AUM) من PitchBook / Crunchbase / Refinitiv بناءً على 10+ صفقات مقارنة في قطاعات DFA / مشغلي fintech / المنصات المالية.</w:t>
      </w:r>
    </w:p>
    <w:p>
      <w:pPr>
        <w:pStyle w:val="ListBullet"/>
      </w:pPr>
      <w:r>
        <w:rPr>
          <w:b/>
        </w:rPr>
        <w:t>الرأي التدقيقي:</w:t>
      </w:r>
      <w:r>
        <w:t xml:space="preserve"> بشأن موثوقية البيانات المصدرية والمنهجية، لا بشأن القيمة العادلة المطلقة.</w:t>
      </w:r>
    </w:p>
    <w:p>
      <w:pPr>
        <w:pStyle w:val="Heading3"/>
      </w:pPr>
      <w:r>
        <w:t>2.2. Tax Due Diligence</w:t>
      </w:r>
    </w:p>
    <w:p>
      <w:pPr>
        <w:pStyle w:val="ListBullet"/>
      </w:pPr>
      <w:r>
        <w:t>تحليل الوضع الضريبي لمشغِّل DFA وفق الصياغة الراهنة لقانون الضرائب RF:</w:t>
      </w:r>
    </w:p>
    <w:p>
      <w:pPr>
        <w:pStyle w:val="ListBullet"/>
      </w:pPr>
      <w:r>
        <w:t>ضريبة القيمة المضافة: الفقرة الفرعية 12.2 من البند 2 من المادة 149 من قانون الضرائب (القانون 324-FZ بتاريخ 31.07.2020) — إعفاء عمليات DFA.</w:t>
      </w:r>
    </w:p>
    <w:p>
      <w:pPr>
        <w:pStyle w:val="ListBullet"/>
      </w:pPr>
      <w:r>
        <w:t>ضريبة الأرباح 20 % — المعدل المعياري؛ مع إمكانية التخفيف الضريبي لتقنية المعلومات بنسبة 5 % (حتى 31.12.2030) في حال إيرادات IT ≥ 70 % + اعتماد IT.</w:t>
      </w:r>
    </w:p>
    <w:p>
      <w:pPr>
        <w:pStyle w:val="ListBullet"/>
      </w:pPr>
      <w:r>
        <w:t>مساهمات التأمين 30 % (قانون الضرائب، الفصل 34).</w:t>
      </w:r>
    </w:p>
    <w:p>
      <w:pPr>
        <w:pStyle w:val="ListBullet"/>
      </w:pPr>
      <w:r>
        <w:t>ضريبة الأملاك — غير منطبقة (أصول غير ملموسة).</w:t>
      </w:r>
    </w:p>
    <w:p>
      <w:pPr>
        <w:pStyle w:val="ListBullet"/>
      </w:pPr>
      <w:r>
        <w:t>هيكلة معاملات DFA لتحسين العبء الضريبي.</w:t>
      </w:r>
    </w:p>
    <w:p>
      <w:pPr>
        <w:pStyle w:val="ListBullet"/>
      </w:pPr>
      <w:r>
        <w:t>تحليل المخاطر الضريبية لبنية wedge (المرحلة 1 دون تعديلات تشريعية مقابل المرحلة 2 بحزمة 4 قوانين اتحادية).</w:t>
      </w:r>
    </w:p>
    <w:p>
      <w:pPr>
        <w:pStyle w:val="ListBullet"/>
      </w:pPr>
      <w:r>
        <w:t>مسائل الضرائب عبر الولايات القضائية (FATCA / CRS) — حيثما انطبق على LP الدوليين.</w:t>
      </w:r>
    </w:p>
    <w:p>
      <w:pPr>
        <w:pStyle w:val="Heading3"/>
      </w:pPr>
      <w:r>
        <w:t>2.3. مراجعة DCF بمستوى IFRS</w:t>
      </w:r>
    </w:p>
    <w:p>
      <w:pPr>
        <w:pStyle w:val="ListBullet"/>
      </w:pPr>
      <w:r>
        <w:t>بناء إطار قياس القيمة العادلة المتوافق مع IFRS 13 للمشروع.</w:t>
      </w:r>
    </w:p>
    <w:p>
      <w:pPr>
        <w:pStyle w:val="ListBullet"/>
      </w:pPr>
      <w:r>
        <w:t>تطبيق هرمية التقييم Level-3 (مدخلات غير قابلة للملاحظة) مع إفصاح صريح عن الفرضيات.</w:t>
      </w:r>
    </w:p>
    <w:p>
      <w:pPr>
        <w:pStyle w:val="ListBullet"/>
      </w:pPr>
      <w:r>
        <w:t>أثر محاسبة الإيجارات IFRS 16 على منحنى OpEx (مراكز البيانات والمكاتب).</w:t>
      </w:r>
    </w:p>
    <w:p>
      <w:pPr>
        <w:pStyle w:val="ListBullet"/>
      </w:pPr>
      <w:r>
        <w:t>تصنيف الأدوات المالية وفق IFRS 9 — لـ DFA بوصفها أصولًا مالية.</w:t>
      </w:r>
    </w:p>
    <w:p>
      <w:pPr>
        <w:pStyle w:val="ListBullet"/>
      </w:pPr>
      <w:r>
        <w:t>إفصاحات IFRS 7 — إطار إدارة المخاطر.</w:t>
      </w:r>
    </w:p>
    <w:p>
      <w:pPr>
        <w:pStyle w:val="ListBullet"/>
      </w:pPr>
      <w:r>
        <w:t>الاعتراف بالإيراد وفق IFRS 15 — لنموذج العمولات (5 تدفقات: feeIssue، feeService، feePlatform، feeB2B، feeAppraisal).</w:t>
      </w:r>
    </w:p>
    <w:p>
      <w:pPr>
        <w:pStyle w:val="Heading3"/>
      </w:pPr>
      <w:r>
        <w:t>2.4. Fairness Opinion</w:t>
      </w:r>
    </w:p>
    <w:p>
      <w:pPr>
        <w:jc w:val="both"/>
      </w:pPr>
      <w:r>
        <w:t>رأي «Fairness Opinion» مستقلّ وفق AICPA Statement on Standards for Valuation Services (SSVS-1) أو IVSC International Valuation Standards 2026. يجب أن يعالج صراحةً:</w:t>
      </w:r>
    </w:p>
    <w:p>
      <w:pPr>
        <w:pStyle w:val="ListBullet"/>
      </w:pPr>
      <w:r>
        <w:t>معقولية قيمة الدخول المحسوبة 248 مليون دولار / النطاق حسب السيناريوهات 164–301 مليون دولار؛</w:t>
      </w:r>
    </w:p>
    <w:p>
      <w:pPr>
        <w:pStyle w:val="ListBullet"/>
      </w:pPr>
      <w:r>
        <w:t>ملاءمة تكلفة رأس المال (WACC 29.5% بالروبل)؛</w:t>
      </w:r>
    </w:p>
    <w:p>
      <w:pPr>
        <w:pStyle w:val="ListBullet"/>
      </w:pPr>
      <w:r>
        <w:t>افتراض استمرارية الأعمال بناءً على السيولة (قاع تراكمي سالب يبلغ −2.1 مليار ₽)؛</w:t>
      </w:r>
    </w:p>
    <w:p>
      <w:pPr>
        <w:pStyle w:val="ListBullet"/>
      </w:pPr>
      <w:r>
        <w:t>الخيارات المنهجية (قيمة نهائية بطريقة غوردون على تدفق مُطبَّع، NPV مقابل المضاعفات المقارنة، WACC build-up مقابل CAPM).</w:t>
      </w:r>
    </w:p>
    <w:p>
      <w:pPr>
        <w:pStyle w:val="Heading2"/>
      </w:pPr>
      <w:r>
        <w:t>3. المخرجات</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7"/>
              </w:rPr>
            </w:r>
            <w:r>
              <w:rPr>
                <w:b/>
                <w:sz w:val="17"/>
              </w:rPr>
              <w:t>الوثيقة</w:t>
            </w:r>
          </w:p>
        </w:tc>
        <w:tc>
          <w:tcPr>
            <w:tcW w:type="dxa" w:w="2880"/>
          </w:tcPr>
          <w:p>
            <w:r>
              <w:rPr>
                <w:b/>
                <w:sz w:val="17"/>
              </w:rPr>
            </w:r>
            <w:r>
              <w:rPr>
                <w:b/>
                <w:sz w:val="17"/>
              </w:rPr>
              <w:t>الصيغة</w:t>
            </w:r>
          </w:p>
        </w:tc>
        <w:tc>
          <w:tcPr>
            <w:tcW w:type="dxa" w:w="2880"/>
          </w:tcPr>
          <w:p>
            <w:r>
              <w:rPr>
                <w:b/>
                <w:sz w:val="17"/>
              </w:rPr>
            </w:r>
            <w:r>
              <w:rPr>
                <w:b/>
                <w:sz w:val="17"/>
              </w:rPr>
              <w:t>الموعد</w:t>
            </w:r>
          </w:p>
        </w:tc>
      </w:tr>
      <w:tr>
        <w:tc>
          <w:tcPr>
            <w:tcW w:type="dxa" w:w="2880"/>
          </w:tcPr>
          <w:p>
            <w:r>
              <w:rPr>
                <w:sz w:val="17"/>
              </w:rPr>
            </w:r>
            <w:r>
              <w:rPr>
                <w:sz w:val="17"/>
              </w:rPr>
              <w:t>Inception Report (kick-off + خطة العمل)</w:t>
            </w:r>
          </w:p>
        </w:tc>
        <w:tc>
          <w:tcPr>
            <w:tcW w:type="dxa" w:w="2880"/>
          </w:tcPr>
          <w:p>
            <w:r>
              <w:rPr>
                <w:sz w:val="17"/>
              </w:rPr>
            </w:r>
            <w:r>
              <w:rPr>
                <w:sz w:val="17"/>
              </w:rPr>
              <w:t>PDF، 8–12 صفحة</w:t>
            </w:r>
          </w:p>
        </w:tc>
        <w:tc>
          <w:tcPr>
            <w:tcW w:type="dxa" w:w="2880"/>
          </w:tcPr>
          <w:p>
            <w:r>
              <w:rPr>
                <w:sz w:val="17"/>
              </w:rPr>
            </w:r>
            <w:r>
              <w:rPr>
                <w:sz w:val="17"/>
              </w:rPr>
              <w:t>T+10 أيام</w:t>
            </w:r>
          </w:p>
        </w:tc>
      </w:tr>
      <w:tr>
        <w:tc>
          <w:tcPr>
            <w:tcW w:type="dxa" w:w="2880"/>
          </w:tcPr>
          <w:p>
            <w:r>
              <w:rPr>
                <w:sz w:val="17"/>
              </w:rPr>
            </w:r>
            <w:r>
              <w:rPr>
                <w:sz w:val="17"/>
              </w:rPr>
              <w:t>Mid-term Findings (مرحلي)</w:t>
            </w:r>
          </w:p>
        </w:tc>
        <w:tc>
          <w:tcPr>
            <w:tcW w:type="dxa" w:w="2880"/>
          </w:tcPr>
          <w:p>
            <w:r>
              <w:rPr>
                <w:sz w:val="17"/>
              </w:rPr>
            </w:r>
            <w:r>
              <w:rPr>
                <w:sz w:val="17"/>
              </w:rPr>
              <w:t>PDF، 20–30 صفحة</w:t>
            </w:r>
          </w:p>
        </w:tc>
        <w:tc>
          <w:tcPr>
            <w:tcW w:type="dxa" w:w="2880"/>
          </w:tcPr>
          <w:p>
            <w:r>
              <w:rPr>
                <w:sz w:val="17"/>
              </w:rPr>
            </w:r>
            <w:r>
              <w:rPr>
                <w:sz w:val="17"/>
              </w:rPr>
              <w:t>T+30 يومًا</w:t>
            </w:r>
          </w:p>
        </w:tc>
      </w:tr>
      <w:tr>
        <w:tc>
          <w:tcPr>
            <w:tcW w:type="dxa" w:w="2880"/>
          </w:tcPr>
          <w:p>
            <w:r>
              <w:rPr>
                <w:sz w:val="17"/>
              </w:rPr>
            </w:r>
            <w:r>
              <w:rPr>
                <w:sz w:val="17"/>
              </w:rPr>
              <w:t>Draft VDD Report</w:t>
            </w:r>
          </w:p>
        </w:tc>
        <w:tc>
          <w:tcPr>
            <w:tcW w:type="dxa" w:w="2880"/>
          </w:tcPr>
          <w:p>
            <w:r>
              <w:rPr>
                <w:sz w:val="17"/>
              </w:rPr>
            </w:r>
            <w:r>
              <w:rPr>
                <w:sz w:val="17"/>
              </w:rPr>
              <w:t>PDF + Excel workbook</w:t>
            </w:r>
          </w:p>
        </w:tc>
        <w:tc>
          <w:tcPr>
            <w:tcW w:type="dxa" w:w="2880"/>
          </w:tcPr>
          <w:p>
            <w:r>
              <w:rPr>
                <w:sz w:val="17"/>
              </w:rPr>
            </w:r>
            <w:r>
              <w:rPr>
                <w:sz w:val="17"/>
              </w:rPr>
              <w:t>T+45 يومًا</w:t>
            </w:r>
          </w:p>
        </w:tc>
      </w:tr>
      <w:tr>
        <w:tc>
          <w:tcPr>
            <w:tcW w:type="dxa" w:w="2880"/>
          </w:tcPr>
          <w:p>
            <w:r>
              <w:rPr>
                <w:sz w:val="17"/>
              </w:rPr>
            </w:r>
            <w:r>
              <w:rPr>
                <w:sz w:val="17"/>
              </w:rPr>
              <w:t>Final VDD Report (بصيغة LMA)</w:t>
            </w:r>
          </w:p>
        </w:tc>
        <w:tc>
          <w:tcPr>
            <w:tcW w:type="dxa" w:w="2880"/>
          </w:tcPr>
          <w:p>
            <w:r>
              <w:rPr>
                <w:sz w:val="17"/>
              </w:rPr>
            </w:r>
            <w:r>
              <w:rPr>
                <w:sz w:val="17"/>
              </w:rPr>
              <w:t>PDF، 60–120 صفحة + Datapack</w:t>
            </w:r>
          </w:p>
        </w:tc>
        <w:tc>
          <w:tcPr>
            <w:tcW w:type="dxa" w:w="2880"/>
          </w:tcPr>
          <w:p>
            <w:r>
              <w:rPr>
                <w:sz w:val="17"/>
              </w:rPr>
            </w:r>
            <w:r>
              <w:rPr>
                <w:sz w:val="17"/>
              </w:rPr>
              <w:t>T+60 يومًا</w:t>
            </w:r>
          </w:p>
        </w:tc>
      </w:tr>
      <w:tr>
        <w:tc>
          <w:tcPr>
            <w:tcW w:type="dxa" w:w="2880"/>
          </w:tcPr>
          <w:p>
            <w:r>
              <w:rPr>
                <w:sz w:val="17"/>
              </w:rPr>
            </w:r>
            <w:r>
              <w:rPr>
                <w:sz w:val="17"/>
              </w:rPr>
              <w:t>Fairness Opinion (موقَّعة من Partner)</w:t>
            </w:r>
          </w:p>
        </w:tc>
        <w:tc>
          <w:tcPr>
            <w:tcW w:type="dxa" w:w="2880"/>
          </w:tcPr>
          <w:p>
            <w:r>
              <w:rPr>
                <w:sz w:val="17"/>
              </w:rPr>
            </w:r>
            <w:r>
              <w:rPr>
                <w:sz w:val="17"/>
              </w:rPr>
              <w:t>PDF، 6–10 صفحات، موقَّعة</w:t>
            </w:r>
          </w:p>
        </w:tc>
        <w:tc>
          <w:tcPr>
            <w:tcW w:type="dxa" w:w="2880"/>
          </w:tcPr>
          <w:p>
            <w:r>
              <w:rPr>
                <w:sz w:val="17"/>
              </w:rPr>
            </w:r>
            <w:r>
              <w:rPr>
                <w:sz w:val="17"/>
              </w:rPr>
              <w:t>T+60 يومًا</w:t>
            </w:r>
          </w:p>
        </w:tc>
      </w:tr>
      <w:tr>
        <w:tc>
          <w:tcPr>
            <w:tcW w:type="dxa" w:w="2880"/>
          </w:tcPr>
          <w:p>
            <w:r>
              <w:rPr>
                <w:sz w:val="17"/>
              </w:rPr>
            </w:r>
            <w:r>
              <w:rPr>
                <w:sz w:val="17"/>
              </w:rPr>
              <w:t>جلسة Q&amp;A management (مرئية)</w:t>
            </w:r>
          </w:p>
        </w:tc>
        <w:tc>
          <w:tcPr>
            <w:tcW w:type="dxa" w:w="2880"/>
          </w:tcPr>
          <w:p>
            <w:r>
              <w:rPr>
                <w:sz w:val="17"/>
              </w:rPr>
            </w:r>
            <w:r>
              <w:rPr>
                <w:sz w:val="17"/>
              </w:rPr>
              <w:t>2–3 جلسات × ساعتان</w:t>
            </w:r>
          </w:p>
        </w:tc>
        <w:tc>
          <w:tcPr>
            <w:tcW w:type="dxa" w:w="2880"/>
          </w:tcPr>
          <w:p>
            <w:r>
              <w:rPr>
                <w:sz w:val="17"/>
              </w:rPr>
            </w:r>
            <w:r>
              <w:rPr>
                <w:sz w:val="17"/>
              </w:rPr>
              <w:t>حسب الجدول</w:t>
            </w:r>
          </w:p>
        </w:tc>
      </w:tr>
      <w:tr>
        <w:tc>
          <w:tcPr>
            <w:tcW w:type="dxa" w:w="2880"/>
          </w:tcPr>
          <w:p>
            <w:r>
              <w:rPr>
                <w:sz w:val="17"/>
              </w:rPr>
            </w:r>
            <w:r>
              <w:rPr>
                <w:sz w:val="17"/>
              </w:rPr>
              <w:t>ملخّص للعرض الاستثماري (board-deck friendly)</w:t>
            </w:r>
          </w:p>
        </w:tc>
        <w:tc>
          <w:tcPr>
            <w:tcW w:type="dxa" w:w="2880"/>
          </w:tcPr>
          <w:p>
            <w:r>
              <w:rPr>
                <w:sz w:val="17"/>
              </w:rPr>
            </w:r>
            <w:r>
              <w:rPr>
                <w:sz w:val="17"/>
              </w:rPr>
              <w:t>PDF، 10–15 صفحة</w:t>
            </w:r>
          </w:p>
        </w:tc>
        <w:tc>
          <w:tcPr>
            <w:tcW w:type="dxa" w:w="2880"/>
          </w:tcPr>
          <w:p>
            <w:r>
              <w:rPr>
                <w:sz w:val="17"/>
              </w:rPr>
            </w:r>
            <w:r>
              <w:rPr>
                <w:sz w:val="17"/>
              </w:rPr>
              <w:t>T+60 يومًا</w:t>
            </w:r>
          </w:p>
        </w:tc>
      </w:tr>
    </w:tbl>
    <w:p/>
    <w:p>
      <w:pPr>
        <w:jc w:val="both"/>
      </w:pPr>
      <w:r>
        <w:t>جميع المخرجات — باللغة الروسية (أساسية) + الإنجليزية (executive summary + key findings).</w:t>
      </w:r>
    </w:p>
    <w:p>
      <w:pPr>
        <w:pStyle w:val="Heading2"/>
      </w:pPr>
      <w:r>
        <w:t>4. الجودة والاستقلالية</w:t>
      </w:r>
    </w:p>
    <w:p>
      <w:pPr>
        <w:pStyle w:val="ListBullet"/>
      </w:pPr>
      <w:r>
        <w:t>يجب أن يكون الـ Partner الموقِّع حائزًا على أحد الاعتمادات التالية: ACA (ICAEW)، CPA، CFA Charter، ASA (American Society of Appraisers).</w:t>
      </w:r>
    </w:p>
    <w:p>
      <w:pPr>
        <w:pStyle w:val="ListBullet"/>
      </w:pPr>
      <w:r>
        <w:t>الفريق — أربعة أشخاص كحد أدنى: Engagement Partner + Senior Manager + 2 Analysts؛ السيَر الذاتية إلزامية.</w:t>
      </w:r>
    </w:p>
    <w:p>
      <w:pPr>
        <w:pStyle w:val="ListBullet"/>
      </w:pPr>
      <w:r>
        <w:t>إفصاح تضارب المصالح (إلزامي): التحقق من أي ارتباطات بأطراف ذات صلة بالمشروع (JSC Atomyze، VEB.RF، partner bank، Promsvyazbank، الجهات التابعة لـ Atomyze) خلال الـ 36 شهرًا الماضية.</w:t>
      </w:r>
    </w:p>
    <w:p>
      <w:pPr>
        <w:pStyle w:val="ListBullet"/>
      </w:pPr>
      <w:r>
        <w:t>التأمين: Professional Indemnity Insurance بتغطية ≥ 5 ملايين دولار.</w:t>
      </w:r>
    </w:p>
    <w:p>
      <w:pPr>
        <w:pStyle w:val="Heading2"/>
      </w:pPr>
      <w:r>
        <w:t>5. الميزانية والمدد</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المعطى</w:t>
            </w:r>
          </w:p>
        </w:tc>
        <w:tc>
          <w:tcPr>
            <w:tcW w:type="dxa" w:w="4320"/>
          </w:tcPr>
          <w:p>
            <w:r>
              <w:rPr>
                <w:b/>
                <w:sz w:val="17"/>
              </w:rPr>
            </w:r>
            <w:r>
              <w:rPr>
                <w:b/>
                <w:sz w:val="17"/>
              </w:rPr>
              <w:t>القيمة</w:t>
            </w:r>
          </w:p>
        </w:tc>
      </w:tr>
      <w:tr>
        <w:tc>
          <w:tcPr>
            <w:tcW w:type="dxa" w:w="4320"/>
          </w:tcPr>
          <w:p>
            <w:r>
              <w:rPr>
                <w:sz w:val="17"/>
              </w:rPr>
            </w:r>
            <w:r>
              <w:rPr>
                <w:sz w:val="17"/>
              </w:rPr>
              <w:t>الميزانية الاسترشادية</w:t>
            </w:r>
          </w:p>
        </w:tc>
        <w:tc>
          <w:tcPr>
            <w:tcW w:type="dxa" w:w="4320"/>
          </w:tcPr>
          <w:p>
            <w:r>
              <w:rPr>
                <w:sz w:val="17"/>
              </w:rPr>
            </w:r>
            <w:r>
              <w:rPr>
                <w:sz w:val="17"/>
              </w:rPr>
              <w:t>8 — 25 مليون ₽ (9 — 28 مليون شاملًا الضريبة)</w:t>
            </w:r>
          </w:p>
        </w:tc>
      </w:tr>
      <w:tr>
        <w:tc>
          <w:tcPr>
            <w:tcW w:type="dxa" w:w="4320"/>
          </w:tcPr>
          <w:p>
            <w:r>
              <w:rPr>
                <w:sz w:val="17"/>
              </w:rPr>
            </w:r>
            <w:r>
              <w:rPr>
                <w:sz w:val="17"/>
              </w:rPr>
              <w:t>مدّة التنفيذ</w:t>
            </w:r>
          </w:p>
        </w:tc>
        <w:tc>
          <w:tcPr>
            <w:tcW w:type="dxa" w:w="4320"/>
          </w:tcPr>
          <w:p>
            <w:r>
              <w:rPr>
                <w:sz w:val="17"/>
              </w:rPr>
            </w:r>
            <w:r>
              <w:rPr>
                <w:sz w:val="17"/>
              </w:rPr>
              <w:t>6 — 10 أسابيع اعتبارًا من kick-off</w:t>
            </w:r>
          </w:p>
        </w:tc>
      </w:tr>
      <w:tr>
        <w:tc>
          <w:tcPr>
            <w:tcW w:type="dxa" w:w="4320"/>
          </w:tcPr>
          <w:p>
            <w:r>
              <w:rPr>
                <w:sz w:val="17"/>
              </w:rPr>
            </w:r>
            <w:r>
              <w:rPr>
                <w:sz w:val="17"/>
              </w:rPr>
              <w:t>المدفوعات</w:t>
            </w:r>
          </w:p>
        </w:tc>
        <w:tc>
          <w:tcPr>
            <w:tcW w:type="dxa" w:w="4320"/>
          </w:tcPr>
          <w:p>
            <w:r>
              <w:rPr>
                <w:sz w:val="17"/>
              </w:rPr>
            </w:r>
            <w:r>
              <w:rPr>
                <w:sz w:val="17"/>
              </w:rPr>
              <w:t>30 % مقدّمًا / 40 % مرحلي / 30 % عند قبول التقرير النهائي</w:t>
            </w:r>
          </w:p>
        </w:tc>
      </w:tr>
      <w:tr>
        <w:tc>
          <w:tcPr>
            <w:tcW w:type="dxa" w:w="4320"/>
          </w:tcPr>
          <w:p>
            <w:r>
              <w:rPr>
                <w:sz w:val="17"/>
              </w:rPr>
            </w:r>
            <w:r>
              <w:rPr>
                <w:sz w:val="17"/>
              </w:rPr>
              <w:t>الغرامة</w:t>
            </w:r>
          </w:p>
        </w:tc>
        <w:tc>
          <w:tcPr>
            <w:tcW w:type="dxa" w:w="4320"/>
          </w:tcPr>
          <w:p>
            <w:r>
              <w:rPr>
                <w:sz w:val="17"/>
              </w:rPr>
            </w:r>
            <w:r>
              <w:rPr>
                <w:sz w:val="17"/>
              </w:rPr>
              <w:t>0.1 % عن كل يوم تأخير يتجاوز SLA، بحد أقصى 10 % من الـ engagement fee</w:t>
            </w:r>
          </w:p>
        </w:tc>
      </w:tr>
      <w:tr>
        <w:tc>
          <w:tcPr>
            <w:tcW w:type="dxa" w:w="4320"/>
          </w:tcPr>
          <w:p>
            <w:r>
              <w:rPr>
                <w:sz w:val="17"/>
              </w:rPr>
            </w:r>
            <w:r>
              <w:rPr>
                <w:sz w:val="17"/>
              </w:rPr>
              <w:t>اللغات</w:t>
            </w:r>
          </w:p>
        </w:tc>
        <w:tc>
          <w:tcPr>
            <w:tcW w:type="dxa" w:w="4320"/>
          </w:tcPr>
          <w:p>
            <w:r>
              <w:rPr>
                <w:sz w:val="17"/>
              </w:rPr>
            </w:r>
            <w:r>
              <w:rPr>
                <w:sz w:val="17"/>
              </w:rPr>
              <w:t>RU (أساسية) + EN (executive summary)</w:t>
            </w:r>
          </w:p>
        </w:tc>
      </w:tr>
    </w:tbl>
    <w:p/>
    <w:p>
      <w:pPr>
        <w:pStyle w:val="Heading2"/>
      </w:pPr>
      <w:r>
        <w:t>6. قائمة المكاتب المدعوّة tier-1</w:t>
      </w:r>
    </w:p>
    <w:p>
      <w:pPr>
        <w:pStyle w:val="ListNumber"/>
      </w:pPr>
      <w:r>
        <w:rPr>
          <w:b/>
        </w:rPr>
        <w:t>KPMG (الاتحاد الروسي + member firm في ولاية قضائية صديقة)</w:t>
      </w:r>
      <w:r>
        <w:t xml:space="preserve"> — رائد في VDD المالي لصفقات fintech الروسية</w:t>
      </w:r>
    </w:p>
    <w:p>
      <w:pPr>
        <w:pStyle w:val="ListNumber"/>
      </w:pPr>
      <w:r>
        <w:rPr>
          <w:b/>
        </w:rPr>
        <w:t>Deloitte (الخلف الروسي «Business Solutions and Technologies»)</w:t>
      </w:r>
      <w:r>
        <w:t xml:space="preserve"> — خبرة قوية في 779-P / 259-FZ</w:t>
      </w:r>
    </w:p>
    <w:p>
      <w:pPr>
        <w:pStyle w:val="ListNumber"/>
      </w:pPr>
      <w:r>
        <w:rPr>
          <w:b/>
        </w:rPr>
        <w:t>EY (الخلف الروسي «B1»)</w:t>
      </w:r>
      <w:r>
        <w:t xml:space="preserve"> — tax DD على DFA (المادة 34.2 من قانون الضرائب)</w:t>
      </w:r>
    </w:p>
    <w:p>
      <w:pPr>
        <w:pStyle w:val="ListNumber"/>
      </w:pPr>
      <w:r>
        <w:rPr>
          <w:b/>
        </w:rPr>
        <w:t>PwC (الخلف الروسي «Technologies of Trust»)</w:t>
      </w:r>
      <w:r>
        <w:t xml:space="preserve"> — تقييم بمستوى IFRS</w:t>
      </w:r>
    </w:p>
    <w:p>
      <w:pPr>
        <w:pStyle w:val="ListNumber"/>
      </w:pPr>
      <w:r>
        <w:rPr>
          <w:b/>
        </w:rPr>
        <w:t>BDO / Unicon</w:t>
      </w:r>
      <w:r>
        <w:t xml:space="preserve"> — بديل محلي tier-2 (في حال اعتذرت Big Four جميعها)</w:t>
      </w:r>
    </w:p>
    <w:p>
      <w:pPr>
        <w:pStyle w:val="Heading2"/>
      </w:pPr>
      <w:r>
        <w:t>7. NDA + غرفة البيانات</w:t>
      </w:r>
    </w:p>
    <w:p>
      <w:pPr>
        <w:pStyle w:val="ListBullet"/>
      </w:pPr>
      <w:r>
        <w:t>NDA متبادل + survival لخمس سنوات</w:t>
      </w:r>
    </w:p>
    <w:p>
      <w:pPr>
        <w:pStyle w:val="ListBullet"/>
      </w:pPr>
      <w:r>
        <w:t xml:space="preserve">الوصول إلى غرفة البيانات في </w:t>
      </w:r>
      <w:r>
        <w:rPr>
          <w:rFonts w:ascii="Consolas" w:hAnsi="Consolas"/>
          <w:sz w:val="18"/>
        </w:rPr>
        <w:t>17_Data_room/</w:t>
      </w:r>
      <w:r>
        <w:t xml:space="preserve"> (وفق نمط Intralinks / Datasite)</w:t>
      </w:r>
    </w:p>
    <w:p>
      <w:pPr>
        <w:pStyle w:val="ListBullet"/>
      </w:pPr>
      <w:r>
        <w:t>Q&amp;A عبر أداة VDR مخصّصة (Datasite / Intralinks / Firmex)</w:t>
      </w:r>
    </w:p>
    <w:p>
      <w:pPr>
        <w:pStyle w:val="ListBullet"/>
      </w:pPr>
      <w:r>
        <w:t>مستويات الصلاحية: full / restricted / Q&amp;A-only</w:t>
      </w:r>
    </w:p>
    <w:p>
      <w:pPr>
        <w:pStyle w:val="Heading2"/>
      </w:pPr>
      <w:r>
        <w:t>8. معايير الاختيار (50/30/20)</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7"/>
              </w:rPr>
            </w:r>
            <w:r>
              <w:rPr>
                <w:b/>
                <w:sz w:val="17"/>
              </w:rPr>
              <w:t>المعيار</w:t>
            </w:r>
          </w:p>
        </w:tc>
        <w:tc>
          <w:tcPr>
            <w:tcW w:type="dxa" w:w="4320"/>
          </w:tcPr>
          <w:p>
            <w:r>
              <w:rPr>
                <w:b/>
                <w:sz w:val="17"/>
              </w:rPr>
            </w:r>
            <w:r>
              <w:rPr>
                <w:b/>
                <w:sz w:val="17"/>
              </w:rPr>
              <w:t>الوزن</w:t>
            </w:r>
          </w:p>
        </w:tc>
      </w:tr>
      <w:tr>
        <w:tc>
          <w:tcPr>
            <w:tcW w:type="dxa" w:w="4320"/>
          </w:tcPr>
          <w:p>
            <w:r>
              <w:rPr>
                <w:sz w:val="17"/>
              </w:rPr>
            </w:r>
            <w:r>
              <w:rPr>
                <w:sz w:val="17"/>
              </w:rPr>
              <w:t>القدرة الفنية وسجلّ الأعمال على صفقات مقارنة (≥ 3 من VDD لـ DFA خلال 24 شهرًا)</w:t>
            </w:r>
          </w:p>
        </w:tc>
        <w:tc>
          <w:tcPr>
            <w:tcW w:type="dxa" w:w="4320"/>
          </w:tcPr>
          <w:p>
            <w:r>
              <w:rPr>
                <w:sz w:val="17"/>
              </w:rPr>
            </w:r>
            <w:r>
              <w:rPr>
                <w:sz w:val="17"/>
              </w:rPr>
              <w:t>50 %</w:t>
            </w:r>
          </w:p>
        </w:tc>
      </w:tr>
      <w:tr>
        <w:tc>
          <w:tcPr>
            <w:tcW w:type="dxa" w:w="4320"/>
          </w:tcPr>
          <w:p>
            <w:r>
              <w:rPr>
                <w:sz w:val="17"/>
              </w:rPr>
            </w:r>
            <w:r>
              <w:rPr>
                <w:sz w:val="17"/>
              </w:rPr>
              <w:t>Partner والفريق (≥ 10 سنوات خبرة، اعتمادات CFA/ACA/CPA)</w:t>
            </w:r>
          </w:p>
        </w:tc>
        <w:tc>
          <w:tcPr>
            <w:tcW w:type="dxa" w:w="4320"/>
          </w:tcPr>
          <w:p>
            <w:r>
              <w:rPr>
                <w:sz w:val="17"/>
              </w:rPr>
            </w:r>
            <w:r>
              <w:rPr>
                <w:sz w:val="17"/>
              </w:rPr>
              <w:t>30 %</w:t>
            </w:r>
          </w:p>
        </w:tc>
      </w:tr>
      <w:tr>
        <w:tc>
          <w:tcPr>
            <w:tcW w:type="dxa" w:w="4320"/>
          </w:tcPr>
          <w:p>
            <w:r>
              <w:rPr>
                <w:sz w:val="17"/>
              </w:rPr>
            </w:r>
            <w:r>
              <w:rPr>
                <w:sz w:val="17"/>
              </w:rPr>
              <w:t>السعر والمدد</w:t>
            </w:r>
          </w:p>
        </w:tc>
        <w:tc>
          <w:tcPr>
            <w:tcW w:type="dxa" w:w="4320"/>
          </w:tcPr>
          <w:p>
            <w:r>
              <w:rPr>
                <w:sz w:val="17"/>
              </w:rPr>
            </w:r>
            <w:r>
              <w:rPr>
                <w:sz w:val="17"/>
              </w:rPr>
              <w:t>20 %</w:t>
            </w:r>
          </w:p>
        </w:tc>
      </w:tr>
    </w:tbl>
    <w:p/>
    <w:p>
      <w:pPr>
        <w:pStyle w:val="Heading2"/>
      </w:pPr>
      <w:r>
        <w:t>9. تقديم العروض</w:t>
      </w:r>
    </w:p>
    <w:p>
      <w:pPr>
        <w:pStyle w:val="ListBullet"/>
      </w:pPr>
      <w:r>
        <w:rPr>
          <w:b/>
        </w:rPr>
        <w:t>البريد الإلكتروني:</w:t>
      </w:r>
      <w:r>
        <w:t xml:space="preserve"> rsfsr-dd@centergroup.ru</w:t>
      </w:r>
    </w:p>
    <w:p>
      <w:pPr>
        <w:pStyle w:val="ListBullet"/>
      </w:pPr>
      <w:r>
        <w:rPr>
          <w:b/>
        </w:rPr>
        <w:t>جهة الاتصال:</w:t>
      </w:r>
      <w:r>
        <w:t xml:space="preserve"> عبد الحكيم أحمدوفيتش كاغيروف، +7 (XXX) XXX-XX-XX</w:t>
      </w:r>
    </w:p>
    <w:p>
      <w:pPr>
        <w:pStyle w:val="ListBullet"/>
      </w:pPr>
      <w:r>
        <w:rPr>
          <w:b/>
        </w:rPr>
        <w:t>صيغة العرض:</w:t>
      </w:r>
      <w:r>
        <w:t xml:space="preserve"> PDF بملف واحد، حتى 30 صفحة، يشمل المقترح + السِّيَر الذاتية + price quote</w:t>
      </w:r>
    </w:p>
    <w:p>
      <w:pPr>
        <w:pStyle w:val="ListBullet"/>
      </w:pPr>
      <w:r>
        <w:rPr>
          <w:b/>
        </w:rPr>
        <w:t>مسوّدة Engagement Letter</w:t>
      </w:r>
      <w:r>
        <w:t xml:space="preserve"> — تُجهَّز بعد الاختيار</w:t>
      </w:r>
    </w:p>
    <w:p>
      <w:pPr>
        <w:jc w:val="both"/>
      </w:pPr>
      <w:r>
        <w:rPr>
          <w:b/>
        </w:rPr>
        <w:t>التاريخ:</w:t>
      </w:r>
      <w:r>
        <w:t xml:space="preserve"> 24.05.2026 </w:t>
      </w:r>
      <w:r>
        <w:rPr>
          <w:b/>
        </w:rPr>
        <w:t>المؤلف وصاحب الحقوق:</w:t>
      </w:r>
      <w:r>
        <w:t xml:space="preserve"> أ.-خ. أ. كاغيروف (شهادة الإيداع رقم 4011265 بتاريخ 19.12.2024) </w:t>
      </w:r>
      <w:r>
        <w:rPr>
          <w:b/>
        </w:rPr>
        <w:t>مرجع التكليف:</w:t>
      </w:r>
      <w:r>
        <w:t xml:space="preserve"> RSFSR-DD-2026</w:t>
      </w:r>
    </w:p>
    <w:p>
      <w:pPr>
        <w:jc w:val="both"/>
      </w:pPr>
      <w:r>
        <w:t>Center Group Company · العنوان البريدي وبيانات الاتصال تُقدَّم عند الطلب.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