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Room — INDEX — CPFSR</w:t>
      </w:r>
    </w:p>
    <w:p>
      <w:pPr>
        <w:jc w:val="both"/>
      </w:pPr>
      <w:r>
        <w:rPr>
          <w:b/>
        </w:rPr>
        <w:t>مرجع التكليف:</w:t>
      </w:r>
      <w:r>
        <w:t xml:space="preserve"> RSFSR-DR-2026 </w:t>
      </w:r>
      <w:r>
        <w:rPr>
          <w:b/>
        </w:rPr>
        <w:t>التاريخ:</w:t>
      </w:r>
      <w:r>
        <w:t xml:space="preserve"> 24.05.2026 </w:t>
      </w:r>
      <w:r>
        <w:rPr>
          <w:b/>
        </w:rPr>
        <w:t>البنية:</w:t>
      </w:r>
      <w:r>
        <w:t xml:space="preserve"> وفق نمط Intralinks / Datasite / Firmex </w:t>
      </w:r>
      <w:r>
        <w:rPr>
          <w:b/>
        </w:rPr>
        <w:t>مستويات الصلاحية:</w:t>
      </w:r>
      <w:r>
        <w:t xml:space="preserve"> </w:t>
      </w:r>
      <w:r>
        <w:rPr>
          <w:rFonts w:ascii="Consolas" w:hAnsi="Consolas"/>
          <w:sz w:val="18"/>
        </w:rPr>
        <w:t>full</w:t>
      </w:r>
      <w:r>
        <w:t xml:space="preserve"> / </w:t>
      </w:r>
      <w:r>
        <w:rPr>
          <w:rFonts w:ascii="Consolas" w:hAnsi="Consolas"/>
          <w:sz w:val="18"/>
        </w:rPr>
        <w:t>restricted</w:t>
      </w:r>
      <w:r>
        <w:t xml:space="preserve"> / </w:t>
      </w:r>
      <w:r>
        <w:rPr>
          <w:rFonts w:ascii="Consolas" w:hAnsi="Consolas"/>
          <w:sz w:val="18"/>
        </w:rPr>
        <w:t>Q&amp;A-only</w:t>
      </w:r>
      <w:r>
        <w:t xml:space="preserve"> / </w:t>
      </w:r>
      <w:r>
        <w:rPr>
          <w:rFonts w:ascii="Consolas" w:hAnsi="Consolas"/>
          <w:sz w:val="18"/>
        </w:rPr>
        <w:t>no-access</w:t>
      </w:r>
    </w:p>
    <w:p>
      <w:pPr>
        <w:pStyle w:val="Heading2"/>
      </w:pPr>
      <w:r>
        <w:t>01_Corporate — الوثائق التأسيسية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المعرّف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الوثيقة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المصدر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المستوى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الجاهزية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شهادة التسجيل الحكومي للشخص الاعتباري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بعد التأسيس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النظام الأساسي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بعد التأسيس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اتفاقية المساهمين (SHA)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جديد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 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سجل المساهمين (CapTable)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حي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حي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محاضر مجلس الإدارة والجمعيات العمومية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حي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حي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السيرة الذاتية للمؤلف (أ.-خ. أ. كاغيروف)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مصدر خارجي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شهادة إيداع التأليف رقم 4011265 بتاريخ 19.12.2024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ireg.pro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تجزئة الوثيقة المفاهيمية وفق GOST R 34.11-2012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داخلي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حزمة الحوكمة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16_Governance_и_Compliance/Governance_Pack.md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مصفوفة الامتثال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16_Governance_и_Compliance/Compliance_Matrix.md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</w:tbl>
    <w:p/>
    <w:p>
      <w:pPr>
        <w:pStyle w:val="Heading2"/>
      </w:pPr>
      <w:r>
        <w:t>02_Financials — المالية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المعرّف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الوثيقة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المصدر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المستوى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الجاهزية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النموذج المالي (10 سنوات + قيمة نهائية متعددة المراحل)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03_Финансовая_модель/Финансовая_модель_ЦП_РСФСР.md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الفرضيات والحسابات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03_Финансовая_модель/Финмодель_допущения_и_расчёты.md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المؤشرات الموحَّدة (مصدر الحقيقة v3)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_Мастер/Единые_показатели_v2.md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حاسبة تفاعلية للنموذج المالي (HTML)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_shared/finmodel.js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التقييم الدولي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11_Оценка/Международная_оценка_проекта.md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السيناريوهات وتحليل مونتي كارلو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</w:t>
            </w:r>
            <w:r>
              <w:rPr>
                <w:sz w:val="17"/>
              </w:rPr>
              <w:t xml:space="preserve"> (قسم الحساسية)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اختبار الإجهاد للسيولة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03_Финансовая_модель/Финансовая_модель_ЦП_РСФСР.md</w:t>
            </w:r>
            <w:r>
              <w:rPr>
                <w:sz w:val="17"/>
              </w:rPr>
              <w:t xml:space="preserve"> § السيولة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استخدامات الأموال للمرحلة 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07_Презентации/Для_партнёров_инвесторов/Pitch_deck.html</w:t>
            </w:r>
            <w:r>
              <w:rPr>
                <w:sz w:val="17"/>
              </w:rPr>
              <w:t xml:space="preserve"> الشريحة 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جدولة التمويل الانتقالي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جديد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 T+3 أشهر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تدقيق Vendor DD للنموذج المالي (بعد Big-4)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T+8 أشهر</w:t>
            </w:r>
          </w:p>
        </w:tc>
      </w:tr>
    </w:tbl>
    <w:p/>
    <w:p>
      <w:pPr>
        <w:pStyle w:val="Heading2"/>
      </w:pPr>
      <w:r>
        <w:t>03_Tax — الضرائب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المعرّف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الوثيقة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المصدر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المستوى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الجاهزية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أحكام قانون الضرائب (الفقرة 12.2 من المادة 149؛ المادة 34.2؛ التخفيف الضريبي لتكنولوجيا المعلومات)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خارجي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تدقيق ضريبي من مكتب Big-4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T+8 أشهر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الهيكلة الضريبية للمرحلة 1 / المرحلة 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_Мастер/Концепт.md</w:t>
            </w:r>
            <w:r>
              <w:rPr>
                <w:sz w:val="17"/>
              </w:rPr>
              <w:t xml:space="preserve"> § 1-bis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الامتثال FATCA / CRS (في حال LP دوليين)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جديد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شهرًا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الإقرار الضريبي (بعد الإطلاق)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حي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T+24 شهرًا</w:t>
            </w:r>
          </w:p>
        </w:tc>
      </w:tr>
    </w:tbl>
    <w:p/>
    <w:p>
      <w:pPr>
        <w:pStyle w:val="Heading2"/>
      </w:pPr>
      <w:r>
        <w:t>04_Legal — الشؤون القانونية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المعرّف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الوثيقة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المصدر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المستوى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الجاهزية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الإطار القانوني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02_Юридический_фундамент/Юридический_фундамент_ЦП_РСФСР.md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الحزمة التعاقدية (5 عقود)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02_Юридический_фундамент/Договорный_пакет/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تمهيدات الاجتماعات (4 مسوّدات LoI/MoU)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02_Юридический_фундамент/Pre-meeting_briefs/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رأي قانوني من مكتب tier-1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T+5 أشهر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EULA / سياسة الخصوصية / شروط الاستخدام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09_Мобильное_приложение/Публикация_RuStore/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طلبات تسجيل العلامة التجارية «CPFSR»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أشهر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تسجيل البرنامج (المادة 1262 من القانون المدني)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شهرًا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وثائق نظام المعرفة الفنية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داخلي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نماذج اتفاقيات السرية (متبادلة + أحادية)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داخلي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سجل النزاعات القضائية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حي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حي</w:t>
            </w:r>
          </w:p>
        </w:tc>
      </w:tr>
    </w:tbl>
    <w:p/>
    <w:p>
      <w:pPr>
        <w:pStyle w:val="Heading2"/>
      </w:pPr>
      <w:r>
        <w:t>05_Commercial — التجاري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المعرّف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الوثيقة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المصدر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المستوى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الجاهزية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خطة العمل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04_Бизнес-план/Бизнес-план_ЦП_РСФСР.md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تقرير العناية الواجبة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12_DD_аудит/DD_отчёт.md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الرعاة (Government Champions)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_Мастер/Концепт.md</w:t>
            </w:r>
            <w:r>
              <w:rPr>
                <w:sz w:val="17"/>
              </w:rPr>
              <w:t xml:space="preserve"> § 1-ter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دراسة سوق من مكتب tier-1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شهرًا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سجل LoI/MoU مع الشركاء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02_Юридический_фундамент/Pre-meeting_briefs/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خط أنابيب العملاء (بعد الإطلاق)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حي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T+18 شهرًا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استراتيجية التسعير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03_Финансовая_модель/Финмодель_допущения_и_расчёты.md</w:t>
            </w:r>
            <w:r>
              <w:rPr>
                <w:sz w:val="17"/>
              </w:rPr>
              <w:t xml:space="preserve"> § 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</w:tbl>
    <w:p/>
    <w:p>
      <w:pPr>
        <w:pStyle w:val="Heading2"/>
      </w:pPr>
      <w:r>
        <w:t>06_Operations — العمليات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المعرّف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الوثيقة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المصدر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المستوى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الجاهزية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 التطوير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01_Техническая_документация/07_Дорожная_карта_разработки.md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المخططات المعمارية C4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01_Техническая_документация/08_Архитектурные_диаграммы.md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الأمن والبنية التحتية المعلوماتية الحرجة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01_Техническая_документация/05_Безопасность_и_КИИ.md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سجل DLT لـ DFA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01_Техническая_документация/06_DLT_реестр_ЦФА.md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التكامل مع نظم المعلومات الحكومية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01_Техническая_документация/04_Интеграции_с_ГИС.md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مواصفات تطبيق الجوال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09_Мобильное_приложение/Спецификация_мобильного_приложения.md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وثائق التصميم وفق GOST 19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09_Мобильное_приложение/Конструкторская_документация/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خطة الاستجابة للحوادث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أشهر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BCP / DRP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شهرًا</w:t>
            </w:r>
          </w:p>
        </w:tc>
      </w:tr>
    </w:tbl>
    <w:p/>
    <w:p>
      <w:pPr>
        <w:pStyle w:val="Heading2"/>
      </w:pPr>
      <w:r>
        <w:t>07_IT_IP — البنية التحتية الرقمية والملكية الفكرية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المعرّف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الوثيقة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المصدر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المستوى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الجاهزية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معمارية البرنامج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01_Техническая_документация/01_Концепция_архитектуры.md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جرد منظومة التقنيات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جديد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 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سجل تراخيص المصادر المفتوحة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جديد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أشهر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وصول قراءة فقط لمستودع الشيفرة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حي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بعد الجولة A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شهادة FSTEC KII-1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T+8 أشهر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تقرير SOC 2 Type II (بعد فترة الرصد)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T+24 شهرًا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شهادة ISO 27001:2022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T+14 شهرًا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تقرير اختبار الاختراق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T+9 أشهر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محفظة الملكية الفكرية (علامات تجارية، تسجيلات برمجية، إيداعات معرفة فنية)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حي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 (جزئيًا)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اتفاقيات الموردين (سحابة / SaaS / استشارات)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أشهر</w:t>
            </w:r>
          </w:p>
        </w:tc>
      </w:tr>
    </w:tbl>
    <w:p/>
    <w:p>
      <w:pPr>
        <w:pStyle w:val="Heading2"/>
      </w:pPr>
      <w:r>
        <w:t>08_HR — الموارد البشرية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المعرّف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الوثيقة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المصدر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المستوى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الجاهزية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نموذج عقد العمل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أشهر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شروط عدم المنافسة / عدم استمالة العاملين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أشهر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الهيكل التنظيمي للفريق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حي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 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خطة خيارات الأسهم للموظفين (ESOP)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أشهر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مرجعيات التعويضات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جديد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أشهر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التحقق من الخلفية للتعيينات الجوهرية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حي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أشهر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سياسة التنوّع والإنصاف والإدماج (DEI)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شهرًا</w:t>
            </w:r>
          </w:p>
        </w:tc>
      </w:tr>
    </w:tbl>
    <w:p/>
    <w:p>
      <w:pPr>
        <w:pStyle w:val="Heading2"/>
      </w:pPr>
      <w:r>
        <w:t>09_ESG — الحوكمة البيئية والاجتماعية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المعرّف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الوثيقة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المصدر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المستوى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الجاهزية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سياسة ESG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16_Governance_и_Compliance/Governance_Pack.md</w:t>
            </w:r>
            <w:r>
              <w:rPr>
                <w:sz w:val="17"/>
              </w:rPr>
              <w:t xml:space="preserve"> § 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جرد البصمة الكربونية (النطاق 1 + 2)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T+18 شهرًا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إفصاح SASB (السنة الأولى)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شهرًا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إفصاح TCFD (السنة الأولى)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شهرًا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بيان مكافحة العبودية الحديثة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شهرًا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سياسة مكافحة الفساد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حزمة الحوكمة § 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بيانات قناة المبلِّغين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حي (بعد الإطلاق)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أشهر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بيان المواءمة مع أهداف التنمية المستدامة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حزمة الحوكمة § 5.3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جاهز</w:t>
            </w:r>
          </w:p>
        </w:tc>
      </w:tr>
    </w:tbl>
    <w:p/>
    <w:p>
      <w:pPr>
        <w:pStyle w:val="Heading2"/>
      </w:pPr>
      <w:r>
        <w:t>10_Insurance — التأمين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المعرّف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الوثيقة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المصدر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المستوى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الجاهزية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وثيقة تأمين D&amp;O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أشهر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تأمين المسؤولية المهنية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أشهر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تأمين الأمن السيبراني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أشهر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تأمين الأخطاء والإغفال (E&amp;O)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أشهر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تأمين توقّف الأعمال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خريطة طريق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شهرًا</w:t>
            </w:r>
          </w:p>
        </w:tc>
      </w:tr>
    </w:tbl>
    <w:p/>
    <w:p>
      <w:pPr>
        <w:pStyle w:val="Heading2"/>
      </w:pPr>
      <w:r>
        <w:t>التحكم في الوصول والصلاحيات</w:t>
      </w:r>
    </w:p>
    <w:p>
      <w:pPr>
        <w:jc w:val="both"/>
      </w:pPr>
      <w:r>
        <w:rPr>
          <w:b/>
        </w:rPr>
        <w:t>مستويات الصلاحية:</w:t>
      </w:r>
    </w:p>
    <w:p>
      <w:pPr>
        <w:pStyle w:val="ListBullet"/>
      </w:pPr>
      <w:r>
        <w:rPr>
          <w:b/>
        </w:rPr>
        <w:t>`full`</w:t>
      </w:r>
      <w:r>
        <w:t xml:space="preserve"> — جميع المستثمرين المحتملين بعد توقيع NDA</w:t>
      </w:r>
    </w:p>
    <w:p>
      <w:pPr>
        <w:pStyle w:val="ListBullet"/>
      </w:pPr>
      <w:r>
        <w:rPr>
          <w:b/>
        </w:rPr>
        <w:t>`restricted`</w:t>
      </w:r>
      <w:r>
        <w:t xml:space="preserve"> — فقط المستثمرون المؤهَّلون (LP / GP) بعد خطاب التكليف</w:t>
      </w:r>
    </w:p>
    <w:p>
      <w:pPr>
        <w:pStyle w:val="ListBullet"/>
      </w:pPr>
      <w:r>
        <w:rPr>
          <w:b/>
        </w:rPr>
        <w:t>`restricted (high)`</w:t>
      </w:r>
      <w:r>
        <w:t xml:space="preserve"> — فقط فريق vendor DD من Big-4 + مكتب tier-1 لإصدار الرأي القانوني + قائد جولة Series A</w:t>
      </w:r>
    </w:p>
    <w:p>
      <w:pPr>
        <w:pStyle w:val="ListBullet"/>
      </w:pPr>
      <w:r>
        <w:rPr>
          <w:b/>
        </w:rPr>
        <w:t>`Q&amp;A-only`</w:t>
      </w:r>
      <w:r>
        <w:t xml:space="preserve"> — لا تُسلَّم الوثيقة؛ تُقدَّم الإجابات عبر قناة Q&amp;A الرسمية</w:t>
      </w:r>
    </w:p>
    <w:p>
      <w:pPr>
        <w:pStyle w:val="ListBullet"/>
      </w:pPr>
      <w:r>
        <w:rPr>
          <w:b/>
        </w:rPr>
        <w:t>`no-access`</w:t>
      </w:r>
      <w:r>
        <w:t xml:space="preserve"> — للاستخدام الداخلي فقط</w:t>
      </w:r>
    </w:p>
    <w:p>
      <w:pPr>
        <w:pStyle w:val="Heading2"/>
      </w:pPr>
      <w:r>
        <w:t>نموذج خطاب الإفصاح (Disclosure Letter)</w:t>
      </w:r>
    </w:p>
    <w:p>
      <w:pPr>
        <w:jc w:val="both"/>
      </w:pPr>
      <w:r>
        <w:t xml:space="preserve">يُسلَّم خطاب الإفصاح مع مشروع SPA / SHA، ويُفصح صراحةً عن جميع الاستثناءات الجوهرية من الضمانات المعيارية. يقع النموذج في </w:t>
      </w:r>
      <w:r>
        <w:rPr>
          <w:rFonts w:ascii="Consolas" w:hAnsi="Consolas"/>
          <w:sz w:val="18"/>
        </w:rPr>
        <w:t>01_Corporate/Disclosure_Letter_template.md</w:t>
      </w:r>
      <w:r>
        <w:t xml:space="preserve"> (سيُعَدّ عند T+1 شهر إلى جانب SHA).</w:t>
      </w:r>
    </w:p>
    <w:p>
      <w:pPr>
        <w:pStyle w:val="Heading2"/>
      </w:pPr>
      <w:r>
        <w:t>اختيار أداة VDR (للإنتاج)</w:t>
      </w:r>
    </w:p>
    <w:p>
      <w:pPr>
        <w:jc w:val="both"/>
      </w:pPr>
      <w:r>
        <w:t>للجولة الحالية نوصي بإحدى الأدوات التالية:</w:t>
      </w:r>
    </w:p>
    <w:p>
      <w:pPr>
        <w:pStyle w:val="ListBullet"/>
      </w:pPr>
      <w:r>
        <w:rPr>
          <w:b/>
        </w:rPr>
        <w:t>Intralinks</w:t>
      </w:r>
      <w:r>
        <w:t xml:space="preserve"> (المعيار الصناعي، يُستخدم لدى Big Four)</w:t>
      </w:r>
    </w:p>
    <w:p>
      <w:pPr>
        <w:pStyle w:val="ListBullet"/>
      </w:pPr>
      <w:r>
        <w:rPr>
          <w:b/>
        </w:rPr>
        <w:t>Datasite</w:t>
      </w:r>
      <w:r>
        <w:t xml:space="preserve"> (سابقًا Merrill Datasite)</w:t>
      </w:r>
    </w:p>
    <w:p>
      <w:pPr>
        <w:pStyle w:val="ListBullet"/>
      </w:pPr>
      <w:r>
        <w:rPr>
          <w:b/>
        </w:rPr>
        <w:t>Firmex</w:t>
      </w:r>
      <w:r>
        <w:t xml:space="preserve"> (السوق المتوسط، تجربة مستخدم جيدة)</w:t>
      </w:r>
    </w:p>
    <w:p>
      <w:pPr>
        <w:pStyle w:val="ListBullet"/>
      </w:pPr>
      <w:r>
        <w:rPr>
          <w:b/>
        </w:rPr>
        <w:t>iDeals</w:t>
      </w:r>
      <w:r>
        <w:t xml:space="preserve"> (مجدٍ من حيث التكلفة)</w:t>
      </w:r>
    </w:p>
    <w:p>
      <w:pPr>
        <w:jc w:val="both"/>
      </w:pPr>
      <w:r>
        <w:t xml:space="preserve">بدائل ذاتية الاستضافة للجولات اللاحقة لـ Series A: </w:t>
      </w:r>
      <w:r>
        <w:rPr>
          <w:b/>
        </w:rPr>
        <w:t>Cylynx VDR</w:t>
      </w:r>
      <w:r>
        <w:t xml:space="preserve">، </w:t>
      </w:r>
      <w:r>
        <w:rPr>
          <w:b/>
        </w:rPr>
        <w:t>Onehub</w:t>
      </w:r>
      <w:r>
        <w:t xml:space="preserve">، </w:t>
      </w:r>
      <w:r>
        <w:rPr>
          <w:b/>
        </w:rPr>
        <w:t>SecureDocs</w:t>
      </w:r>
      <w:r>
        <w:t>.</w:t>
      </w:r>
    </w:p>
    <w:p>
      <w:pPr>
        <w:pStyle w:val="Heading2"/>
      </w:pPr>
      <w:r>
        <w:t>عملية الأسئلة والأجوبة (Q&amp;A)</w:t>
      </w:r>
    </w:p>
    <w:p>
      <w:pPr>
        <w:pStyle w:val="ListBullet"/>
      </w:pPr>
      <w:r>
        <w:t>تُجرى الأسئلة والأجوبة فقط عبر أداة Q&amp;A داخل VDR (لا قناة بريد إلكتروني).</w:t>
      </w:r>
    </w:p>
    <w:p>
      <w:pPr>
        <w:pStyle w:val="ListBullet"/>
      </w:pPr>
      <w:r>
        <w:t>تُسجَّل جميع الأسئلة.</w:t>
      </w:r>
    </w:p>
    <w:p>
      <w:pPr>
        <w:pStyle w:val="ListBullet"/>
      </w:pPr>
      <w:r>
        <w:t>تُقدَّم الإجابات خلال ≤ 48 ساعة من استلام السؤال.</w:t>
      </w:r>
    </w:p>
    <w:p>
      <w:pPr>
        <w:pStyle w:val="ListBullet"/>
      </w:pPr>
      <w:r>
        <w:t>تتولّى إدارة Q&amp;A: مسؤول الامتثال + المستشار العام + الخبير القطاعي المختصّ.</w:t>
      </w:r>
    </w:p>
    <w:p>
      <w:pPr>
        <w:pStyle w:val="ListBullet"/>
      </w:pPr>
      <w:r>
        <w:t>يُرسَل ملخّص Q&amp;A اليومي إلى جميع الأطراف المعنية النشطة.</w:t>
      </w:r>
    </w:p>
    <w:p>
      <w:pPr>
        <w:pStyle w:val="Heading2"/>
      </w:pPr>
      <w:r>
        <w:t>مسار التدقيق</w:t>
      </w:r>
    </w:p>
    <w:p>
      <w:pPr>
        <w:jc w:val="both"/>
      </w:pPr>
      <w:r>
        <w:t>تسجّل أداة VDR تلقائيًا:</w:t>
      </w:r>
    </w:p>
    <w:p>
      <w:pPr>
        <w:pStyle w:val="ListBullet"/>
      </w:pPr>
      <w:r>
        <w:t>مَن فتح الوثيقة</w:t>
      </w:r>
    </w:p>
    <w:p>
      <w:pPr>
        <w:pStyle w:val="ListBullet"/>
      </w:pPr>
      <w:r>
        <w:t>مدّة الاطّلاع</w:t>
      </w:r>
    </w:p>
    <w:p>
      <w:pPr>
        <w:pStyle w:val="ListBullet"/>
      </w:pPr>
      <w:r>
        <w:t xml:space="preserve">ما إذا جرى التنزيل (مُعطَّل للمستوى </w:t>
      </w:r>
      <w:r>
        <w:rPr>
          <w:rFonts w:ascii="Consolas" w:hAnsi="Consolas"/>
          <w:sz w:val="18"/>
        </w:rPr>
        <w:t>restricted (high)</w:t>
      </w:r>
      <w:r>
        <w:t>)</w:t>
      </w:r>
    </w:p>
    <w:p>
      <w:pPr>
        <w:pStyle w:val="ListBullet"/>
      </w:pPr>
      <w:r>
        <w:t>لقطات الشاشة (بعلامة مائية)</w:t>
      </w:r>
    </w:p>
    <w:p>
      <w:pPr>
        <w:jc w:val="both"/>
      </w:pPr>
      <w:r>
        <w:t>تُجرى مراجعة مسار التدقيق فصليًّا داخل لجنة التدقيق.</w:t>
      </w:r>
    </w:p>
    <w:p>
      <w:pPr>
        <w:jc w:val="both"/>
      </w:pPr>
      <w:r>
        <w:rPr>
          <w:b/>
        </w:rPr>
        <w:t>التاريخ:</w:t>
      </w:r>
      <w:r>
        <w:t xml:space="preserve"> 24.05.2026 </w:t>
      </w:r>
      <w:r>
        <w:rPr>
          <w:b/>
        </w:rPr>
        <w:t>مرجع التكليف:</w:t>
      </w:r>
      <w:r>
        <w:t xml:space="preserve"> RSFSR-DR-2026 </w:t>
      </w:r>
      <w:r>
        <w:rPr>
          <w:b/>
        </w:rPr>
        <w:t>Center Group Company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