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Financial model of CP RSFSR — basis of the assumptions</w:t>
      </w:r>
    </w:p>
    <w:p>
      <w:pPr>
        <w:ind w:left="360"/>
      </w:pPr>
      <w:r>
        <w:rPr>
          <w:b/>
          <w:i/>
          <w:color w:val="444444"/>
        </w:rPr>
        <w:t>Note.</w:t>
      </w:r>
      <w:r>
        <w:rPr>
          <w:i/>
          <w:color w:val="444444"/>
        </w:rPr>
        <w:t xml:space="preserve"> This is a translation of the Russian original. In case of any discrepancy in wording, the Russian version prevails. All figures are taken from the same calculation engine.</w:t>
      </w:r>
    </w:p>
    <w:p>
      <w:pPr>
        <w:jc w:val="both"/>
      </w:pPr>
      <w:r>
        <w:rPr>
          <w:b/>
        </w:rPr>
        <w:t>Document:</w:t>
      </w:r>
      <w:r>
        <w:t xml:space="preserve"> explanatory note accompanying the financial model. </w:t>
      </w:r>
      <w:r>
        <w:rPr>
          <w:b/>
        </w:rPr>
        <w:t>Related files:</w:t>
      </w:r>
      <w:r>
        <w:t xml:space="preserve"> </w:t>
      </w:r>
      <w:r>
        <w:rPr>
          <w:rFonts w:ascii="Consolas" w:hAnsi="Consolas"/>
          <w:sz w:val="18"/>
        </w:rPr>
        <w:t>Финансовая_модель_ЦП_РСФСР.md</w:t>
      </w:r>
      <w:r>
        <w:t xml:space="preserve"> (the calculation itself), </w:t>
      </w:r>
      <w:r>
        <w:rPr>
          <w:rFonts w:ascii="Consolas" w:hAnsi="Consolas"/>
          <w:sz w:val="18"/>
        </w:rPr>
        <w:t>Модель/assumptions.json</w:t>
      </w:r>
      <w:r>
        <w:t xml:space="preserve"> (all input values), </w:t>
      </w:r>
      <w:r>
        <w:rPr>
          <w:rFonts w:ascii="Consolas" w:hAnsi="Consolas"/>
          <w:sz w:val="18"/>
        </w:rPr>
        <w:t>Модель/Выгрузка/*.csv</w:t>
      </w:r>
      <w:r>
        <w:t xml:space="preserve"> (machine-readable export). </w:t>
      </w:r>
      <w:r>
        <w:rPr>
          <w:b/>
        </w:rPr>
        <w:t>Author of the concept:</w:t>
      </w:r>
      <w:r>
        <w:t xml:space="preserve"> Kagirov A.-Kh.A., deposit certificate No. 4011265 of 19.12.2024 — fixing the priority date and the hash; protection regime — know-how (Art. 1465 Civil Code) plus computer programme (Art. 1262 Civil Code). </w:t>
      </w:r>
      <w:r>
        <w:rPr>
          <w:b/>
        </w:rPr>
        <w:t>Edition:</w:t>
      </w:r>
      <w:r>
        <w:t xml:space="preserve"> v5 of 07.09.2026.</w:t>
      </w:r>
    </w:p>
    <w:p>
      <w:pPr>
        <w:jc w:val="both"/>
      </w:pPr>
      <w:r>
        <w:t>The purpose of this note is to show where every value comes from, and to name honestly what rests on nothing but the author's design.</w:t>
      </w:r>
    </w:p>
    <w:p>
      <w:pPr>
        <w:ind w:left="360"/>
      </w:pPr>
      <w:r>
        <w:rPr>
          <w:b/>
          <w:i/>
          <w:color w:val="444444"/>
        </w:rPr>
        <w:t>The calculation is separated from the text.</w:t>
      </w:r>
      <w:r>
        <w:rPr>
          <w:i/>
          <w:color w:val="444444"/>
        </w:rPr>
        <w:t xml:space="preserve"> The figures live in </w:t>
      </w:r>
      <w:r>
        <w:rPr>
          <w:rFonts w:ascii="Consolas" w:hAnsi="Consolas"/>
          <w:i/>
          <w:color w:val="444444"/>
          <w:sz w:val="18"/>
        </w:rPr>
        <w:t>Модель/assumptions.json</w:t>
      </w:r>
      <w:r>
        <w:rPr>
          <w:i/>
          <w:color w:val="444444"/>
        </w:rPr>
        <w:t xml:space="preserve"> and are computed by the engine </w:t>
      </w:r>
      <w:r>
        <w:rPr>
          <w:rFonts w:ascii="Consolas" w:hAnsi="Consolas"/>
          <w:i/>
          <w:color w:val="444444"/>
          <w:sz w:val="18"/>
        </w:rPr>
        <w:t>Модель/model.py</w:t>
      </w:r>
      <w:r>
        <w:rPr>
          <w:i/>
          <w:color w:val="444444"/>
        </w:rPr>
        <w:t>. Documents are assembled from the engine. This was done deliberately: in earlier editions the figures were stored separately in each document and drifted apart.</w:t>
      </w:r>
    </w:p>
    <w:p>
      <w:pPr>
        <w:pStyle w:val="Heading2"/>
      </w:pPr>
      <w:r>
        <w:t>1. The market</w:t>
      </w:r>
    </w:p>
    <w:p>
      <w:pPr>
        <w:pStyle w:val="Heading3"/>
      </w:pPr>
      <w:r>
        <w:t>1.1. Collateral capacity of RUB 25 tn</w:t>
      </w:r>
    </w:p>
    <w:p>
      <w:pPr>
        <w:jc w:val="both"/>
      </w:pPr>
      <w:r>
        <w:t>Source — the author's concept.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7"/>
              </w:rPr>
            </w:r>
            <w:r>
              <w:rPr>
                <w:b/>
                <w:sz w:val="17"/>
              </w:rPr>
              <w:t>Segment</w:t>
            </w:r>
          </w:p>
        </w:tc>
        <w:tc>
          <w:tcPr>
            <w:tcW w:type="dxa" w:w="2880"/>
          </w:tcPr>
          <w:p>
            <w:r>
              <w:rPr>
                <w:b/>
                <w:sz w:val="17"/>
              </w:rPr>
            </w:r>
            <w:r>
              <w:rPr>
                <w:b/>
                <w:sz w:val="17"/>
              </w:rPr>
              <w:t>Volume, RUB tn</w:t>
            </w:r>
          </w:p>
        </w:tc>
        <w:tc>
          <w:tcPr>
            <w:tcW w:type="dxa" w:w="2880"/>
          </w:tcPr>
          <w:p>
            <w:r>
              <w:rPr>
                <w:b/>
                <w:sz w:val="17"/>
              </w:rPr>
            </w:r>
            <w:r>
              <w:rPr>
                <w:b/>
                <w:sz w:val="17"/>
              </w:rPr>
              <w:t>Part drawn in (10% of assets × 50% of value), RUB tn</w:t>
            </w:r>
          </w:p>
        </w:tc>
      </w:tr>
      <w:tr>
        <w:tc>
          <w:tcPr>
            <w:tcW w:type="dxa" w:w="2880"/>
          </w:tcPr>
          <w:p>
            <w:r>
              <w:rPr>
                <w:sz w:val="17"/>
              </w:rPr>
            </w:r>
            <w:r>
              <w:rPr>
                <w:sz w:val="17"/>
              </w:rPr>
              <w:t>Housing stock (4.7 bn m² × RUB 85,000 per m²)</w:t>
            </w:r>
          </w:p>
        </w:tc>
        <w:tc>
          <w:tcPr>
            <w:tcW w:type="dxa" w:w="2880"/>
          </w:tcPr>
          <w:p>
            <w:r>
              <w:rPr>
                <w:sz w:val="17"/>
              </w:rPr>
            </w:r>
            <w:r>
              <w:rPr>
                <w:sz w:val="17"/>
              </w:rPr>
              <w:t>400</w:t>
            </w:r>
          </w:p>
        </w:tc>
        <w:tc>
          <w:tcPr>
            <w:tcW w:type="dxa" w:w="2880"/>
          </w:tcPr>
          <w:p>
            <w:r>
              <w:rPr>
                <w:sz w:val="17"/>
              </w:rPr>
            </w:r>
            <w:r>
              <w:rPr>
                <w:sz w:val="17"/>
              </w:rPr>
              <w:t>20.0</w:t>
            </w:r>
          </w:p>
        </w:tc>
      </w:tr>
      <w:tr>
        <w:tc>
          <w:tcPr>
            <w:tcW w:type="dxa" w:w="2880"/>
          </w:tcPr>
          <w:p>
            <w:r>
              <w:rPr>
                <w:sz w:val="17"/>
              </w:rPr>
            </w:r>
            <w:r>
              <w:rPr>
                <w:sz w:val="17"/>
              </w:rPr>
              <w:t>Commercial real estate</w:t>
            </w:r>
          </w:p>
        </w:tc>
        <w:tc>
          <w:tcPr>
            <w:tcW w:type="dxa" w:w="2880"/>
          </w:tcPr>
          <w:p>
            <w:r>
              <w:rPr>
                <w:sz w:val="17"/>
              </w:rPr>
            </w:r>
            <w:r>
              <w:rPr>
                <w:sz w:val="17"/>
              </w:rPr>
              <w:t>45</w:t>
            </w:r>
          </w:p>
        </w:tc>
        <w:tc>
          <w:tcPr>
            <w:tcW w:type="dxa" w:w="2880"/>
          </w:tcPr>
          <w:p>
            <w:r>
              <w:rPr>
                <w:sz w:val="17"/>
              </w:rPr>
            </w:r>
            <w:r>
              <w:rPr>
                <w:sz w:val="17"/>
              </w:rPr>
              <w:t>2.3</w:t>
            </w:r>
          </w:p>
        </w:tc>
      </w:tr>
      <w:tr>
        <w:tc>
          <w:tcPr>
            <w:tcW w:type="dxa" w:w="2880"/>
          </w:tcPr>
          <w:p>
            <w:r>
              <w:rPr>
                <w:sz w:val="17"/>
              </w:rPr>
            </w:r>
            <w:r>
              <w:rPr>
                <w:sz w:val="17"/>
              </w:rPr>
              <w:t>Land plots</w:t>
            </w:r>
          </w:p>
        </w:tc>
        <w:tc>
          <w:tcPr>
            <w:tcW w:type="dxa" w:w="2880"/>
          </w:tcPr>
          <w:p>
            <w:r>
              <w:rPr>
                <w:sz w:val="17"/>
              </w:rPr>
            </w:r>
            <w:r>
              <w:rPr>
                <w:sz w:val="17"/>
              </w:rPr>
              <w:t>62</w:t>
            </w:r>
          </w:p>
        </w:tc>
        <w:tc>
          <w:tcPr>
            <w:tcW w:type="dxa" w:w="2880"/>
          </w:tcPr>
          <w:p>
            <w:r>
              <w:rPr>
                <w:sz w:val="17"/>
              </w:rPr>
            </w:r>
            <w:r>
              <w:rPr>
                <w:sz w:val="17"/>
              </w:rPr>
              <w:t>3.1</w:t>
            </w:r>
          </w:p>
        </w:tc>
      </w:tr>
      <w:tr>
        <w:tc>
          <w:tcPr>
            <w:tcW w:type="dxa" w:w="2880"/>
          </w:tcPr>
          <w:p>
            <w:r>
              <w:rPr>
                <w:sz w:val="17"/>
              </w:rPr>
            </w:r>
            <w:r>
              <w:rPr>
                <w:b/>
                <w:sz w:val="17"/>
              </w:rPr>
              <w:t>Total</w:t>
            </w:r>
          </w:p>
        </w:tc>
        <w:tc>
          <w:tcPr>
            <w:tcW w:type="dxa" w:w="2880"/>
          </w:tcPr>
          <w:p>
            <w:r>
              <w:rPr>
                <w:sz w:val="17"/>
              </w:rPr>
            </w:r>
            <w:r>
              <w:rPr>
                <w:b/>
                <w:sz w:val="17"/>
              </w:rPr>
              <w:t>507</w:t>
            </w:r>
          </w:p>
        </w:tc>
        <w:tc>
          <w:tcPr>
            <w:tcW w:type="dxa" w:w="2880"/>
          </w:tcPr>
          <w:p>
            <w:r>
              <w:rPr>
                <w:sz w:val="17"/>
              </w:rPr>
            </w:r>
            <w:r>
              <w:rPr>
                <w:b/>
                <w:sz w:val="17"/>
              </w:rPr>
              <w:t>25.4 ≈ 25</w:t>
            </w:r>
          </w:p>
        </w:tc>
      </w:tr>
    </w:tbl>
    <w:p/>
    <w:p>
      <w:pPr>
        <w:jc w:val="both"/>
      </w:pPr>
      <w:r>
        <w:t>The logic of the constraint: only 10% of assets are drawn into the system, and for collateral purposes value is taken at 50% of market value — which corresponds to the practice of collateral haircuts.</w:t>
      </w:r>
    </w:p>
    <w:p>
      <w:pPr>
        <w:jc w:val="both"/>
      </w:pPr>
      <w:r>
        <w:rPr>
          <w:b/>
        </w:rPr>
        <w:t>What this is not.</w:t>
      </w:r>
      <w:r>
        <w:t xml:space="preserve"> It is an estimate of potential capacity, not of demand. The project contains no evidence that owners are willing to pledge property on these terms. Verifying demand is the first thing that should be done before any conversation about money.</w:t>
      </w:r>
    </w:p>
    <w:p>
      <w:pPr>
        <w:pStyle w:val="Heading3"/>
      </w:pPr>
      <w:r>
        <w:t>1.2. Capacity indexation of 4% a year</w:t>
      </w:r>
    </w:p>
    <w:p>
      <w:pPr>
        <w:jc w:val="both"/>
      </w:pPr>
      <w:r>
        <w:t>The Bank of Russia inflation target. There is no real market growth in the model — only revaluation.</w:t>
      </w:r>
    </w:p>
    <w:p>
      <w:pPr>
        <w:pStyle w:val="Heading3"/>
      </w:pPr>
      <w:r>
        <w:t>1.3. Trajectory of the platform's share</w:t>
      </w:r>
    </w:p>
    <w:tbl>
      <w:tblPr>
        <w:tblStyle w:val="TableGrid"/>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sz w:val="17"/>
              </w:rPr>
            </w:r>
            <w:r>
              <w:rPr>
                <w:b/>
                <w:sz w:val="17"/>
              </w:rPr>
              <w:t>Model year</w:t>
            </w:r>
          </w:p>
        </w:tc>
        <w:tc>
          <w:tcPr>
            <w:tcW w:type="dxa" w:w="785"/>
          </w:tcPr>
          <w:p>
            <w:r>
              <w:rPr>
                <w:b/>
                <w:sz w:val="17"/>
              </w:rPr>
            </w:r>
            <w:r>
              <w:rPr>
                <w:b/>
                <w:sz w:val="17"/>
              </w:rPr>
              <w:t>1</w:t>
            </w:r>
          </w:p>
        </w:tc>
        <w:tc>
          <w:tcPr>
            <w:tcW w:type="dxa" w:w="785"/>
          </w:tcPr>
          <w:p>
            <w:r>
              <w:rPr>
                <w:b/>
                <w:sz w:val="17"/>
              </w:rPr>
            </w:r>
            <w:r>
              <w:rPr>
                <w:b/>
                <w:sz w:val="17"/>
              </w:rPr>
              <w:t>2</w:t>
            </w:r>
          </w:p>
        </w:tc>
        <w:tc>
          <w:tcPr>
            <w:tcW w:type="dxa" w:w="785"/>
          </w:tcPr>
          <w:p>
            <w:r>
              <w:rPr>
                <w:b/>
                <w:sz w:val="17"/>
              </w:rPr>
            </w:r>
            <w:r>
              <w:rPr>
                <w:b/>
                <w:sz w:val="17"/>
              </w:rPr>
              <w:t>3</w:t>
            </w:r>
          </w:p>
        </w:tc>
        <w:tc>
          <w:tcPr>
            <w:tcW w:type="dxa" w:w="785"/>
          </w:tcPr>
          <w:p>
            <w:r>
              <w:rPr>
                <w:b/>
                <w:sz w:val="17"/>
              </w:rPr>
            </w:r>
            <w:r>
              <w:rPr>
                <w:b/>
                <w:sz w:val="17"/>
              </w:rPr>
              <w:t>4</w:t>
            </w:r>
          </w:p>
        </w:tc>
        <w:tc>
          <w:tcPr>
            <w:tcW w:type="dxa" w:w="785"/>
          </w:tcPr>
          <w:p>
            <w:r>
              <w:rPr>
                <w:b/>
                <w:sz w:val="17"/>
              </w:rPr>
            </w:r>
            <w:r>
              <w:rPr>
                <w:b/>
                <w:sz w:val="17"/>
              </w:rPr>
              <w:t>5</w:t>
            </w:r>
          </w:p>
        </w:tc>
        <w:tc>
          <w:tcPr>
            <w:tcW w:type="dxa" w:w="785"/>
          </w:tcPr>
          <w:p>
            <w:r>
              <w:rPr>
                <w:b/>
                <w:sz w:val="17"/>
              </w:rPr>
            </w:r>
            <w:r>
              <w:rPr>
                <w:b/>
                <w:sz w:val="17"/>
              </w:rPr>
              <w:t>6</w:t>
            </w:r>
          </w:p>
        </w:tc>
        <w:tc>
          <w:tcPr>
            <w:tcW w:type="dxa" w:w="785"/>
          </w:tcPr>
          <w:p>
            <w:r>
              <w:rPr>
                <w:b/>
                <w:sz w:val="17"/>
              </w:rPr>
            </w:r>
            <w:r>
              <w:rPr>
                <w:b/>
                <w:sz w:val="17"/>
              </w:rPr>
              <w:t>7</w:t>
            </w:r>
          </w:p>
        </w:tc>
        <w:tc>
          <w:tcPr>
            <w:tcW w:type="dxa" w:w="785"/>
          </w:tcPr>
          <w:p>
            <w:r>
              <w:rPr>
                <w:b/>
                <w:sz w:val="17"/>
              </w:rPr>
            </w:r>
            <w:r>
              <w:rPr>
                <w:b/>
                <w:sz w:val="17"/>
              </w:rPr>
              <w:t>8</w:t>
            </w:r>
          </w:p>
        </w:tc>
        <w:tc>
          <w:tcPr>
            <w:tcW w:type="dxa" w:w="785"/>
          </w:tcPr>
          <w:p>
            <w:r>
              <w:rPr>
                <w:b/>
                <w:sz w:val="17"/>
              </w:rPr>
            </w:r>
            <w:r>
              <w:rPr>
                <w:b/>
                <w:sz w:val="17"/>
              </w:rPr>
              <w:t>9</w:t>
            </w:r>
          </w:p>
        </w:tc>
        <w:tc>
          <w:tcPr>
            <w:tcW w:type="dxa" w:w="785"/>
          </w:tcPr>
          <w:p>
            <w:r>
              <w:rPr>
                <w:b/>
                <w:sz w:val="17"/>
              </w:rPr>
            </w:r>
            <w:r>
              <w:rPr>
                <w:b/>
                <w:sz w:val="17"/>
              </w:rPr>
              <w:t>10</w:t>
            </w:r>
          </w:p>
        </w:tc>
      </w:tr>
      <w:tr>
        <w:tc>
          <w:tcPr>
            <w:tcW w:type="dxa" w:w="785"/>
          </w:tcPr>
          <w:p>
            <w:r>
              <w:rPr>
                <w:sz w:val="17"/>
              </w:rPr>
            </w:r>
            <w:r>
              <w:rPr>
                <w:sz w:val="17"/>
              </w:rPr>
              <w:t>Calendar year</w:t>
            </w:r>
          </w:p>
        </w:tc>
        <w:tc>
          <w:tcPr>
            <w:tcW w:type="dxa" w:w="785"/>
          </w:tcPr>
          <w:p>
            <w:r>
              <w:rPr>
                <w:sz w:val="17"/>
              </w:rPr>
            </w:r>
            <w:r>
              <w:rPr>
                <w:sz w:val="17"/>
              </w:rPr>
              <w:t>2027</w:t>
            </w:r>
          </w:p>
        </w:tc>
        <w:tc>
          <w:tcPr>
            <w:tcW w:type="dxa" w:w="785"/>
          </w:tcPr>
          <w:p>
            <w:r>
              <w:rPr>
                <w:sz w:val="17"/>
              </w:rPr>
            </w:r>
            <w:r>
              <w:rPr>
                <w:sz w:val="17"/>
              </w:rPr>
              <w:t>2028</w:t>
            </w:r>
          </w:p>
        </w:tc>
        <w:tc>
          <w:tcPr>
            <w:tcW w:type="dxa" w:w="785"/>
          </w:tcPr>
          <w:p>
            <w:r>
              <w:rPr>
                <w:sz w:val="17"/>
              </w:rPr>
            </w:r>
            <w:r>
              <w:rPr>
                <w:sz w:val="17"/>
              </w:rPr>
              <w:t>2029</w:t>
            </w:r>
          </w:p>
        </w:tc>
        <w:tc>
          <w:tcPr>
            <w:tcW w:type="dxa" w:w="785"/>
          </w:tcPr>
          <w:p>
            <w:r>
              <w:rPr>
                <w:sz w:val="17"/>
              </w:rPr>
            </w:r>
            <w:r>
              <w:rPr>
                <w:sz w:val="17"/>
              </w:rPr>
              <w:t>2030</w:t>
            </w:r>
          </w:p>
        </w:tc>
        <w:tc>
          <w:tcPr>
            <w:tcW w:type="dxa" w:w="785"/>
          </w:tcPr>
          <w:p>
            <w:r>
              <w:rPr>
                <w:sz w:val="17"/>
              </w:rPr>
            </w:r>
            <w:r>
              <w:rPr>
                <w:sz w:val="17"/>
              </w:rPr>
              <w:t>2031</w:t>
            </w:r>
          </w:p>
        </w:tc>
        <w:tc>
          <w:tcPr>
            <w:tcW w:type="dxa" w:w="785"/>
          </w:tcPr>
          <w:p>
            <w:r>
              <w:rPr>
                <w:sz w:val="17"/>
              </w:rPr>
            </w:r>
            <w:r>
              <w:rPr>
                <w:sz w:val="17"/>
              </w:rPr>
              <w:t>2032</w:t>
            </w:r>
          </w:p>
        </w:tc>
        <w:tc>
          <w:tcPr>
            <w:tcW w:type="dxa" w:w="785"/>
          </w:tcPr>
          <w:p>
            <w:r>
              <w:rPr>
                <w:sz w:val="17"/>
              </w:rPr>
            </w:r>
            <w:r>
              <w:rPr>
                <w:sz w:val="17"/>
              </w:rPr>
              <w:t>2033</w:t>
            </w:r>
          </w:p>
        </w:tc>
        <w:tc>
          <w:tcPr>
            <w:tcW w:type="dxa" w:w="785"/>
          </w:tcPr>
          <w:p>
            <w:r>
              <w:rPr>
                <w:sz w:val="17"/>
              </w:rPr>
            </w:r>
            <w:r>
              <w:rPr>
                <w:sz w:val="17"/>
              </w:rPr>
              <w:t>2034</w:t>
            </w:r>
          </w:p>
        </w:tc>
        <w:tc>
          <w:tcPr>
            <w:tcW w:type="dxa" w:w="785"/>
          </w:tcPr>
          <w:p>
            <w:r>
              <w:rPr>
                <w:sz w:val="17"/>
              </w:rPr>
            </w:r>
            <w:r>
              <w:rPr>
                <w:sz w:val="17"/>
              </w:rPr>
              <w:t>2035</w:t>
            </w:r>
          </w:p>
        </w:tc>
        <w:tc>
          <w:tcPr>
            <w:tcW w:type="dxa" w:w="785"/>
          </w:tcPr>
          <w:p>
            <w:r>
              <w:rPr>
                <w:sz w:val="17"/>
              </w:rPr>
            </w:r>
            <w:r>
              <w:rPr>
                <w:sz w:val="17"/>
              </w:rPr>
              <w:t>2036</w:t>
            </w:r>
          </w:p>
        </w:tc>
      </w:tr>
      <w:tr>
        <w:tc>
          <w:tcPr>
            <w:tcW w:type="dxa" w:w="785"/>
          </w:tcPr>
          <w:p>
            <w:r>
              <w:rPr>
                <w:sz w:val="17"/>
              </w:rPr>
            </w:r>
            <w:r>
              <w:rPr>
                <w:sz w:val="17"/>
              </w:rPr>
              <w:t>Market share</w:t>
            </w:r>
          </w:p>
        </w:tc>
        <w:tc>
          <w:tcPr>
            <w:tcW w:type="dxa" w:w="785"/>
          </w:tcPr>
          <w:p>
            <w:r>
              <w:rPr>
                <w:sz w:val="17"/>
              </w:rPr>
            </w:r>
            <w:r>
              <w:rPr>
                <w:sz w:val="17"/>
              </w:rPr>
              <w:t>0%</w:t>
            </w:r>
          </w:p>
        </w:tc>
        <w:tc>
          <w:tcPr>
            <w:tcW w:type="dxa" w:w="785"/>
          </w:tcPr>
          <w:p>
            <w:r>
              <w:rPr>
                <w:sz w:val="17"/>
              </w:rPr>
            </w:r>
            <w:r>
              <w:rPr>
                <w:sz w:val="17"/>
              </w:rPr>
              <w:t>0.4%</w:t>
            </w:r>
          </w:p>
        </w:tc>
        <w:tc>
          <w:tcPr>
            <w:tcW w:type="dxa" w:w="785"/>
          </w:tcPr>
          <w:p>
            <w:r>
              <w:rPr>
                <w:sz w:val="17"/>
              </w:rPr>
            </w:r>
            <w:r>
              <w:rPr>
                <w:sz w:val="17"/>
              </w:rPr>
              <w:t>1.8%</w:t>
            </w:r>
          </w:p>
        </w:tc>
        <w:tc>
          <w:tcPr>
            <w:tcW w:type="dxa" w:w="785"/>
          </w:tcPr>
          <w:p>
            <w:r>
              <w:rPr>
                <w:sz w:val="17"/>
              </w:rPr>
            </w:r>
            <w:r>
              <w:rPr>
                <w:sz w:val="17"/>
              </w:rPr>
              <w:t>4.4%</w:t>
            </w:r>
          </w:p>
        </w:tc>
        <w:tc>
          <w:tcPr>
            <w:tcW w:type="dxa" w:w="785"/>
          </w:tcPr>
          <w:p>
            <w:r>
              <w:rPr>
                <w:sz w:val="17"/>
              </w:rPr>
            </w:r>
            <w:r>
              <w:rPr>
                <w:sz w:val="17"/>
              </w:rPr>
              <w:t>8.8%</w:t>
            </w:r>
          </w:p>
        </w:tc>
        <w:tc>
          <w:tcPr>
            <w:tcW w:type="dxa" w:w="785"/>
          </w:tcPr>
          <w:p>
            <w:r>
              <w:rPr>
                <w:sz w:val="17"/>
              </w:rPr>
            </w:r>
            <w:r>
              <w:rPr>
                <w:sz w:val="17"/>
              </w:rPr>
              <w:t>10.8%</w:t>
            </w:r>
          </w:p>
        </w:tc>
        <w:tc>
          <w:tcPr>
            <w:tcW w:type="dxa" w:w="785"/>
          </w:tcPr>
          <w:p>
            <w:r>
              <w:rPr>
                <w:sz w:val="17"/>
              </w:rPr>
            </w:r>
            <w:r>
              <w:rPr>
                <w:sz w:val="17"/>
              </w:rPr>
              <w:t>12.6%</w:t>
            </w:r>
          </w:p>
        </w:tc>
        <w:tc>
          <w:tcPr>
            <w:tcW w:type="dxa" w:w="785"/>
          </w:tcPr>
          <w:p>
            <w:r>
              <w:rPr>
                <w:sz w:val="17"/>
              </w:rPr>
            </w:r>
            <w:r>
              <w:rPr>
                <w:sz w:val="17"/>
              </w:rPr>
              <w:t>14.4%</w:t>
            </w:r>
          </w:p>
        </w:tc>
        <w:tc>
          <w:tcPr>
            <w:tcW w:type="dxa" w:w="785"/>
          </w:tcPr>
          <w:p>
            <w:r>
              <w:rPr>
                <w:sz w:val="17"/>
              </w:rPr>
            </w:r>
            <w:r>
              <w:rPr>
                <w:sz w:val="17"/>
              </w:rPr>
              <w:t>16.2%</w:t>
            </w:r>
          </w:p>
        </w:tc>
        <w:tc>
          <w:tcPr>
            <w:tcW w:type="dxa" w:w="785"/>
          </w:tcPr>
          <w:p>
            <w:r>
              <w:rPr>
                <w:sz w:val="17"/>
              </w:rPr>
            </w:r>
            <w:r>
              <w:rPr>
                <w:b/>
                <w:sz w:val="17"/>
              </w:rPr>
              <w:t>18%</w:t>
            </w:r>
          </w:p>
        </w:tc>
      </w:tr>
    </w:tbl>
    <w:p/>
    <w:p>
      <w:pPr>
        <w:jc w:val="both"/>
      </w:pPr>
      <w:r>
        <w:t>The author lowered the year-ten target from 20% to 18% following the 2026 audit. The conservative scenario is 7%, the optimistic one 25%.</w:t>
      </w:r>
    </w:p>
    <w:p>
      <w:pPr>
        <w:jc w:val="both"/>
      </w:pPr>
      <w:r>
        <w:rPr>
          <w:b/>
        </w:rPr>
        <w:t>This is the model's principal unverified assumption.</w:t>
      </w:r>
      <w:r>
        <w:t xml:space="preserve"> It rests on no pilot, no contracts and no comparable project. All the remaining arithmetic is derived from this line. In a discussion with an investor the conversation should start here, not with the resulting value.</w:t>
      </w:r>
    </w:p>
    <w:p>
      <w:pPr>
        <w:pStyle w:val="Heading3"/>
      </w:pPr>
      <w:r>
        <w:t>1.4. The horizon starts in 2027</w:t>
      </w:r>
    </w:p>
    <w:p>
      <w:pPr>
        <w:jc w:val="both"/>
      </w:pPr>
      <w:r>
        <w:t>The previous edition counted from 2025 and assumed CFA issuance of RUB 104 bn as early as 2026. At the date of this edition there is no information-system operator licence, no adopted regulatory framework and no issue at all. The horizon has therefore been shifted: 2027 for preparation, 2028 for the first issues.</w:t>
      </w:r>
    </w:p>
    <w:p>
      <w:pPr>
        <w:jc w:val="both"/>
      </w:pPr>
      <w:r>
        <w:t>The price of that shift is visible in the calculation: every year of delay removes roughly a quarter of enterprise value.</w:t>
      </w:r>
    </w:p>
    <w:p>
      <w:pPr>
        <w:pStyle w:val="Heading3"/>
      </w:pPr>
      <w:r>
        <w:t>1.5. The circulating stack</w:t>
      </w:r>
    </w:p>
    <w:p>
      <w:pPr>
        <w:jc w:val="both"/>
      </w:pPr>
      <w:r>
        <w:t>Stack of year t = the sum of issues over years t−4 … t. The average life of an issue is 5 years, which corresponds to the length of infrastructure cycles.</w:t>
      </w:r>
    </w:p>
    <w:p>
      <w:pPr>
        <w:pStyle w:val="Heading2"/>
      </w:pPr>
      <w:r>
        <w:t>2. Tariffs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7"/>
              </w:rPr>
            </w:r>
            <w:r>
              <w:rPr>
                <w:b/>
                <w:sz w:val="17"/>
              </w:rPr>
              <w:t>Line</w:t>
            </w:r>
          </w:p>
        </w:tc>
        <w:tc>
          <w:tcPr>
            <w:tcW w:type="dxa" w:w="2880"/>
          </w:tcPr>
          <w:p>
            <w:r>
              <w:rPr>
                <w:b/>
                <w:sz w:val="17"/>
              </w:rPr>
            </w:r>
            <w:r>
              <w:rPr>
                <w:b/>
                <w:sz w:val="17"/>
              </w:rPr>
              <w:t>Rate</w:t>
            </w:r>
          </w:p>
        </w:tc>
        <w:tc>
          <w:tcPr>
            <w:tcW w:type="dxa" w:w="2880"/>
          </w:tcPr>
          <w:p>
            <w:r>
              <w:rPr>
                <w:b/>
                <w:sz w:val="17"/>
              </w:rPr>
            </w:r>
            <w:r>
              <w:rPr>
                <w:b/>
                <w:sz w:val="17"/>
              </w:rPr>
              <w:t>Market benchmark</w:t>
            </w:r>
          </w:p>
        </w:tc>
      </w:tr>
      <w:tr>
        <w:tc>
          <w:tcPr>
            <w:tcW w:type="dxa" w:w="2880"/>
          </w:tcPr>
          <w:p>
            <w:r>
              <w:rPr>
                <w:sz w:val="17"/>
              </w:rPr>
            </w:r>
            <w:r>
              <w:rPr>
                <w:sz w:val="17"/>
              </w:rPr>
              <w:t>Issuance fee</w:t>
            </w:r>
          </w:p>
        </w:tc>
        <w:tc>
          <w:tcPr>
            <w:tcW w:type="dxa" w:w="2880"/>
          </w:tcPr>
          <w:p>
            <w:r>
              <w:rPr>
                <w:sz w:val="17"/>
              </w:rPr>
            </w:r>
            <w:r>
              <w:rPr>
                <w:sz w:val="17"/>
              </w:rPr>
              <w:t>0.50%</w:t>
            </w:r>
          </w:p>
        </w:tc>
        <w:tc>
          <w:tcPr>
            <w:tcW w:type="dxa" w:w="2880"/>
          </w:tcPr>
          <w:p>
            <w:r>
              <w:rPr>
                <w:sz w:val="17"/>
              </w:rPr>
            </w:r>
            <w:r>
              <w:rPr>
                <w:sz w:val="17"/>
              </w:rPr>
              <w:t>CFA operators in Russia: 0.1–1%</w:t>
            </w:r>
          </w:p>
        </w:tc>
      </w:tr>
      <w:tr>
        <w:tc>
          <w:tcPr>
            <w:tcW w:type="dxa" w:w="2880"/>
          </w:tcPr>
          <w:p>
            <w:r>
              <w:rPr>
                <w:sz w:val="17"/>
              </w:rPr>
            </w:r>
            <w:r>
              <w:rPr>
                <w:sz w:val="17"/>
              </w:rPr>
              <w:t>Servicing fee on the stack</w:t>
            </w:r>
          </w:p>
        </w:tc>
        <w:tc>
          <w:tcPr>
            <w:tcW w:type="dxa" w:w="2880"/>
          </w:tcPr>
          <w:p>
            <w:r>
              <w:rPr>
                <w:sz w:val="17"/>
              </w:rPr>
            </w:r>
            <w:r>
              <w:rPr>
                <w:sz w:val="17"/>
              </w:rPr>
              <w:t>0.30%</w:t>
            </w:r>
          </w:p>
        </w:tc>
        <w:tc>
          <w:tcPr>
            <w:tcW w:type="dxa" w:w="2880"/>
          </w:tcPr>
          <w:p>
            <w:r>
              <w:rPr>
                <w:sz w:val="17"/>
              </w:rPr>
            </w:r>
            <w:r>
              <w:rPr>
                <w:sz w:val="17"/>
              </w:rPr>
              <w:t>depositories 0.05–0.15%; management companies 1–2%</w:t>
            </w:r>
          </w:p>
        </w:tc>
      </w:tr>
      <w:tr>
        <w:tc>
          <w:tcPr>
            <w:tcW w:type="dxa" w:w="2880"/>
          </w:tcPr>
          <w:p>
            <w:r>
              <w:rPr>
                <w:sz w:val="17"/>
              </w:rPr>
            </w:r>
            <w:r>
              <w:rPr>
                <w:sz w:val="17"/>
              </w:rPr>
              <w:t>Platform fee (automated valuation)</w:t>
            </w:r>
          </w:p>
        </w:tc>
        <w:tc>
          <w:tcPr>
            <w:tcW w:type="dxa" w:w="2880"/>
          </w:tcPr>
          <w:p>
            <w:r>
              <w:rPr>
                <w:sz w:val="17"/>
              </w:rPr>
            </w:r>
            <w:r>
              <w:rPr>
                <w:sz w:val="17"/>
              </w:rPr>
              <w:t>0.15%</w:t>
            </w:r>
          </w:p>
        </w:tc>
        <w:tc>
          <w:tcPr>
            <w:tcW w:type="dxa" w:w="2880"/>
          </w:tcPr>
          <w:p>
            <w:r>
              <w:rPr>
                <w:sz w:val="17"/>
              </w:rPr>
            </w:r>
            <w:r>
              <w:rPr>
                <w:sz w:val="17"/>
              </w:rPr>
              <w:t>valuation firms 0.1–0.5%</w:t>
            </w:r>
          </w:p>
        </w:tc>
      </w:tr>
      <w:tr>
        <w:tc>
          <w:tcPr>
            <w:tcW w:type="dxa" w:w="2880"/>
          </w:tcPr>
          <w:p>
            <w:r>
              <w:rPr>
                <w:sz w:val="17"/>
              </w:rPr>
            </w:r>
            <w:r>
              <w:rPr>
                <w:sz w:val="17"/>
              </w:rPr>
              <w:t>B2B2G licences</w:t>
            </w:r>
          </w:p>
        </w:tc>
        <w:tc>
          <w:tcPr>
            <w:tcW w:type="dxa" w:w="2880"/>
          </w:tcPr>
          <w:p>
            <w:r>
              <w:rPr>
                <w:sz w:val="17"/>
              </w:rPr>
            </w:r>
            <w:r>
              <w:rPr>
                <w:sz w:val="17"/>
              </w:rPr>
              <w:t>from 0 to 0.15%</w:t>
            </w:r>
          </w:p>
        </w:tc>
        <w:tc>
          <w:tcPr>
            <w:tcW w:type="dxa" w:w="2880"/>
          </w:tcPr>
          <w:p>
            <w:r>
              <w:rPr>
                <w:sz w:val="17"/>
              </w:rPr>
            </w:r>
            <w:r>
              <w:rPr>
                <w:sz w:val="17"/>
              </w:rPr>
              <w:t>linear growth over the years</w:t>
            </w:r>
          </w:p>
        </w:tc>
      </w:tr>
      <w:tr>
        <w:tc>
          <w:tcPr>
            <w:tcW w:type="dxa" w:w="2880"/>
          </w:tcPr>
          <w:p>
            <w:r>
              <w:rPr>
                <w:sz w:val="17"/>
              </w:rPr>
            </w:r>
            <w:r>
              <w:rPr>
                <w:sz w:val="17"/>
              </w:rPr>
              <w:t>Technology integrations</w:t>
            </w:r>
          </w:p>
        </w:tc>
        <w:tc>
          <w:tcPr>
            <w:tcW w:type="dxa" w:w="2880"/>
          </w:tcPr>
          <w:p>
            <w:r>
              <w:rPr>
                <w:sz w:val="17"/>
              </w:rPr>
            </w:r>
            <w:r>
              <w:rPr>
                <w:sz w:val="17"/>
              </w:rPr>
              <w:t>RUB 50–1,150 mn per year</w:t>
            </w:r>
          </w:p>
        </w:tc>
        <w:tc>
          <w:tcPr>
            <w:tcW w:type="dxa" w:w="2880"/>
          </w:tcPr>
          <w:p>
            <w:r>
              <w:rPr>
                <w:sz w:val="17"/>
              </w:rPr>
            </w:r>
            <w:r>
              <w:rPr>
                <w:sz w:val="17"/>
              </w:rPr>
              <w:t>RUB 10–50 mn per partner connection</w:t>
            </w:r>
          </w:p>
        </w:tc>
      </w:tr>
      <w:tr>
        <w:tc>
          <w:tcPr>
            <w:tcW w:type="dxa" w:w="2880"/>
          </w:tcPr>
          <w:p>
            <w:r>
              <w:rPr>
                <w:sz w:val="17"/>
              </w:rPr>
            </w:r>
            <w:r>
              <w:rPr>
                <w:sz w:val="17"/>
              </w:rPr>
              <w:t>Appraisal and insurance, gross tariff</w:t>
            </w:r>
          </w:p>
        </w:tc>
        <w:tc>
          <w:tcPr>
            <w:tcW w:type="dxa" w:w="2880"/>
          </w:tcPr>
          <w:p>
            <w:r>
              <w:rPr>
                <w:sz w:val="17"/>
              </w:rPr>
            </w:r>
            <w:r>
              <w:rPr>
                <w:sz w:val="17"/>
              </w:rPr>
              <w:t>0.80%</w:t>
            </w:r>
          </w:p>
        </w:tc>
        <w:tc>
          <w:tcPr>
            <w:tcW w:type="dxa" w:w="2880"/>
          </w:tcPr>
          <w:p>
            <w:r>
              <w:rPr>
                <w:sz w:val="17"/>
              </w:rPr>
            </w:r>
            <w:r>
              <w:rPr>
                <w:sz w:val="17"/>
              </w:rPr>
              <w:t>insurance premiums 0.3–0.8%</w:t>
            </w:r>
          </w:p>
        </w:tc>
      </w:tr>
    </w:tbl>
    <w:p/>
    <w:p>
      <w:pPr>
        <w:pStyle w:val="Heading3"/>
      </w:pPr>
      <w:r>
        <w:t>2.1. Why appraisal and insurance are recognised net</w:t>
      </w:r>
    </w:p>
    <w:p>
      <w:pPr>
        <w:jc w:val="both"/>
      </w:pPr>
      <w:r>
        <w:t>In this line the platform acts as an agent: it collects 0.8% of volume and passes 85% of that on to appraisers and insurers. Its own margin is 0.12% of volume. Only that margin enters revenue; gross billings are shown on a separate memorandum line.</w:t>
      </w:r>
    </w:p>
    <w:p>
      <w:pPr>
        <w:jc w:val="both"/>
      </w:pPr>
      <w:r>
        <w:t>In the previous edition the whole 0.8% was counted as platform revenue. In 2034 that produced RUB 51,240 mn — more than a third of all stated revenue — while the offsetting costs never reached the cost side. The note "pass-through, 85% offsetting costs" was present in the memorandum to the model but was never carried into the calculation.</w:t>
      </w:r>
    </w:p>
    <w:p>
      <w:pPr>
        <w:pStyle w:val="Heading3"/>
      </w:pPr>
      <w:r>
        <w:t>2.2. Tariffs are not indexed</w:t>
      </w:r>
    </w:p>
    <w:p>
      <w:pPr>
        <w:jc w:val="both"/>
      </w:pPr>
      <w:r>
        <w:t>A deliberate simplification in favour of conservatism: revenue growth comes solely from volume growth.</w:t>
      </w:r>
    </w:p>
    <w:p>
      <w:pPr>
        <w:pStyle w:val="Heading2"/>
      </w:pPr>
      <w:r>
        <w:t>3. Capital expenditure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7"/>
              </w:rPr>
            </w:r>
            <w:r>
              <w:rPr>
                <w:b/>
                <w:sz w:val="17"/>
              </w:rPr>
              <w:t>Year</w:t>
            </w:r>
          </w:p>
        </w:tc>
        <w:tc>
          <w:tcPr>
            <w:tcW w:type="dxa" w:w="2880"/>
          </w:tcPr>
          <w:p>
            <w:r>
              <w:rPr>
                <w:b/>
                <w:sz w:val="17"/>
              </w:rPr>
            </w:r>
            <w:r>
              <w:rPr>
                <w:b/>
                <w:sz w:val="17"/>
              </w:rPr>
              <w:t>RUB mn</w:t>
            </w:r>
          </w:p>
        </w:tc>
        <w:tc>
          <w:tcPr>
            <w:tcW w:type="dxa" w:w="2880"/>
          </w:tcPr>
          <w:p>
            <w:r>
              <w:rPr>
                <w:b/>
                <w:sz w:val="17"/>
              </w:rPr>
            </w:r>
            <w:r>
              <w:rPr>
                <w:b/>
                <w:sz w:val="17"/>
              </w:rPr>
              <w:t>Purpose</w:t>
            </w:r>
          </w:p>
        </w:tc>
      </w:tr>
      <w:tr>
        <w:tc>
          <w:tcPr>
            <w:tcW w:type="dxa" w:w="2880"/>
          </w:tcPr>
          <w:p>
            <w:r>
              <w:rPr>
                <w:sz w:val="17"/>
              </w:rPr>
            </w:r>
            <w:r>
              <w:rPr>
                <w:sz w:val="17"/>
              </w:rPr>
              <w:t>2027</w:t>
            </w:r>
          </w:p>
        </w:tc>
        <w:tc>
          <w:tcPr>
            <w:tcW w:type="dxa" w:w="2880"/>
          </w:tcPr>
          <w:p>
            <w:r>
              <w:rPr>
                <w:sz w:val="17"/>
              </w:rPr>
            </w:r>
            <w:r>
              <w:rPr>
                <w:sz w:val="17"/>
              </w:rPr>
              <w:t>300</w:t>
            </w:r>
          </w:p>
        </w:tc>
        <w:tc>
          <w:tcPr>
            <w:tcW w:type="dxa" w:w="2880"/>
          </w:tcPr>
          <w:p>
            <w:r>
              <w:rPr>
                <w:sz w:val="17"/>
              </w:rPr>
            </w:r>
            <w:r>
              <w:rPr>
                <w:sz w:val="17"/>
              </w:rPr>
              <w:t>Platform core, valuation and encumbrance-registration modules</w:t>
            </w:r>
          </w:p>
        </w:tc>
      </w:tr>
      <w:tr>
        <w:tc>
          <w:tcPr>
            <w:tcW w:type="dxa" w:w="2880"/>
          </w:tcPr>
          <w:p>
            <w:r>
              <w:rPr>
                <w:sz w:val="17"/>
              </w:rPr>
            </w:r>
            <w:r>
              <w:rPr>
                <w:sz w:val="17"/>
              </w:rPr>
              <w:t>2028</w:t>
            </w:r>
          </w:p>
        </w:tc>
        <w:tc>
          <w:tcPr>
            <w:tcW w:type="dxa" w:w="2880"/>
          </w:tcPr>
          <w:p>
            <w:r>
              <w:rPr>
                <w:sz w:val="17"/>
              </w:rPr>
            </w:r>
            <w:r>
              <w:rPr>
                <w:sz w:val="17"/>
              </w:rPr>
              <w:t>420</w:t>
            </w:r>
          </w:p>
        </w:tc>
        <w:tc>
          <w:tcPr>
            <w:tcW w:type="dxa" w:w="2880"/>
          </w:tcPr>
          <w:p>
            <w:r>
              <w:rPr>
                <w:sz w:val="17"/>
              </w:rPr>
            </w:r>
            <w:r>
              <w:rPr>
                <w:sz w:val="17"/>
              </w:rPr>
              <w:t>Data centres, licences, launch</w:t>
            </w:r>
          </w:p>
        </w:tc>
      </w:tr>
      <w:tr>
        <w:tc>
          <w:tcPr>
            <w:tcW w:type="dxa" w:w="2880"/>
          </w:tcPr>
          <w:p>
            <w:r>
              <w:rPr>
                <w:sz w:val="17"/>
              </w:rPr>
            </w:r>
            <w:r>
              <w:rPr>
                <w:sz w:val="17"/>
              </w:rPr>
              <w:t>2029</w:t>
            </w:r>
          </w:p>
        </w:tc>
        <w:tc>
          <w:tcPr>
            <w:tcW w:type="dxa" w:w="2880"/>
          </w:tcPr>
          <w:p>
            <w:r>
              <w:rPr>
                <w:sz w:val="17"/>
              </w:rPr>
            </w:r>
            <w:r>
              <w:rPr>
                <w:sz w:val="17"/>
              </w:rPr>
              <w:t>400</w:t>
            </w:r>
          </w:p>
        </w:tc>
        <w:tc>
          <w:tcPr>
            <w:tcW w:type="dxa" w:w="2880"/>
          </w:tcPr>
          <w:p>
            <w:r>
              <w:rPr>
                <w:sz w:val="17"/>
              </w:rPr>
            </w:r>
            <w:r>
              <w:rPr>
                <w:sz w:val="17"/>
              </w:rPr>
              <w:t>Platform maturity, infrastructure of the legal regime</w:t>
            </w:r>
          </w:p>
        </w:tc>
      </w:tr>
      <w:tr>
        <w:tc>
          <w:tcPr>
            <w:tcW w:type="dxa" w:w="2880"/>
          </w:tcPr>
          <w:p>
            <w:r>
              <w:rPr>
                <w:sz w:val="17"/>
              </w:rPr>
            </w:r>
            <w:r>
              <w:rPr>
                <w:sz w:val="17"/>
              </w:rPr>
              <w:t>2030</w:t>
            </w:r>
          </w:p>
        </w:tc>
        <w:tc>
          <w:tcPr>
            <w:tcW w:type="dxa" w:w="2880"/>
          </w:tcPr>
          <w:p>
            <w:r>
              <w:rPr>
                <w:sz w:val="17"/>
              </w:rPr>
            </w:r>
            <w:r>
              <w:rPr>
                <w:sz w:val="17"/>
              </w:rPr>
              <w:t>550</w:t>
            </w:r>
          </w:p>
        </w:tc>
        <w:tc>
          <w:tcPr>
            <w:tcW w:type="dxa" w:w="2880"/>
          </w:tcPr>
          <w:p>
            <w:r>
              <w:rPr>
                <w:sz w:val="17"/>
              </w:rPr>
            </w:r>
            <w:r>
              <w:rPr>
                <w:sz w:val="17"/>
              </w:rPr>
              <w:t>Deployment of the register of information-system operators (Regulation 779-P)</w:t>
            </w:r>
          </w:p>
        </w:tc>
      </w:tr>
      <w:tr>
        <w:tc>
          <w:tcPr>
            <w:tcW w:type="dxa" w:w="2880"/>
          </w:tcPr>
          <w:p>
            <w:r>
              <w:rPr>
                <w:sz w:val="17"/>
              </w:rPr>
            </w:r>
            <w:r>
              <w:rPr>
                <w:sz w:val="17"/>
              </w:rPr>
              <w:t>2031</w:t>
            </w:r>
          </w:p>
        </w:tc>
        <w:tc>
          <w:tcPr>
            <w:tcW w:type="dxa" w:w="2880"/>
          </w:tcPr>
          <w:p>
            <w:r>
              <w:rPr>
                <w:sz w:val="17"/>
              </w:rPr>
            </w:r>
            <w:r>
              <w:rPr>
                <w:sz w:val="17"/>
              </w:rPr>
              <w:t>1,800</w:t>
            </w:r>
          </w:p>
        </w:tc>
        <w:tc>
          <w:tcPr>
            <w:tcW w:type="dxa" w:w="2880"/>
          </w:tcPr>
          <w:p>
            <w:r>
              <w:rPr>
                <w:sz w:val="17"/>
              </w:rPr>
            </w:r>
            <w:r>
              <w:rPr>
                <w:sz w:val="17"/>
              </w:rPr>
              <w:t>FSTEC/FSB certification, second data centre</w:t>
            </w:r>
          </w:p>
        </w:tc>
      </w:tr>
      <w:tr>
        <w:tc>
          <w:tcPr>
            <w:tcW w:type="dxa" w:w="2880"/>
          </w:tcPr>
          <w:p>
            <w:r>
              <w:rPr>
                <w:sz w:val="17"/>
              </w:rPr>
            </w:r>
            <w:r>
              <w:rPr>
                <w:sz w:val="17"/>
              </w:rPr>
              <w:t>2032</w:t>
            </w:r>
          </w:p>
        </w:tc>
        <w:tc>
          <w:tcPr>
            <w:tcW w:type="dxa" w:w="2880"/>
          </w:tcPr>
          <w:p>
            <w:r>
              <w:rPr>
                <w:sz w:val="17"/>
              </w:rPr>
            </w:r>
            <w:r>
              <w:rPr>
                <w:sz w:val="17"/>
              </w:rPr>
              <w:t>2,400</w:t>
            </w:r>
          </w:p>
        </w:tc>
        <w:tc>
          <w:tcPr>
            <w:tcW w:type="dxa" w:w="2880"/>
          </w:tcPr>
          <w:p>
            <w:r>
              <w:rPr>
                <w:sz w:val="17"/>
              </w:rPr>
            </w:r>
            <w:r>
              <w:rPr>
                <w:sz w:val="17"/>
              </w:rPr>
              <w:t>Scaling: third data centre, new-generation crypto modules</w:t>
            </w:r>
          </w:p>
        </w:tc>
      </w:tr>
      <w:tr>
        <w:tc>
          <w:tcPr>
            <w:tcW w:type="dxa" w:w="2880"/>
          </w:tcPr>
          <w:p>
            <w:r>
              <w:rPr>
                <w:sz w:val="17"/>
              </w:rPr>
            </w:r>
            <w:r>
              <w:rPr>
                <w:sz w:val="17"/>
              </w:rPr>
              <w:t>2033</w:t>
            </w:r>
          </w:p>
        </w:tc>
        <w:tc>
          <w:tcPr>
            <w:tcW w:type="dxa" w:w="2880"/>
          </w:tcPr>
          <w:p>
            <w:r>
              <w:rPr>
                <w:sz w:val="17"/>
              </w:rPr>
            </w:r>
            <w:r>
              <w:rPr>
                <w:sz w:val="17"/>
              </w:rPr>
              <w:t>1,600</w:t>
            </w:r>
          </w:p>
        </w:tc>
        <w:tc>
          <w:tcPr>
            <w:tcW w:type="dxa" w:w="2880"/>
          </w:tcPr>
          <w:p>
            <w:r>
              <w:rPr>
                <w:sz w:val="17"/>
              </w:rPr>
            </w:r>
            <w:r>
              <w:rPr>
                <w:sz w:val="17"/>
              </w:rPr>
              <w:t>Scheduled modernisation</w:t>
            </w:r>
          </w:p>
        </w:tc>
      </w:tr>
      <w:tr>
        <w:tc>
          <w:tcPr>
            <w:tcW w:type="dxa" w:w="2880"/>
          </w:tcPr>
          <w:p>
            <w:r>
              <w:rPr>
                <w:sz w:val="17"/>
              </w:rPr>
            </w:r>
            <w:r>
              <w:rPr>
                <w:sz w:val="17"/>
              </w:rPr>
              <w:t>2034</w:t>
            </w:r>
          </w:p>
        </w:tc>
        <w:tc>
          <w:tcPr>
            <w:tcW w:type="dxa" w:w="2880"/>
          </w:tcPr>
          <w:p>
            <w:r>
              <w:rPr>
                <w:sz w:val="17"/>
              </w:rPr>
            </w:r>
            <w:r>
              <w:rPr>
                <w:sz w:val="17"/>
              </w:rPr>
              <w:t>1,800</w:t>
            </w:r>
          </w:p>
        </w:tc>
        <w:tc>
          <w:tcPr>
            <w:tcW w:type="dxa" w:w="2880"/>
          </w:tcPr>
          <w:p>
            <w:r>
              <w:rPr>
                <w:sz w:val="17"/>
              </w:rPr>
            </w:r>
            <w:r>
              <w:rPr>
                <w:sz w:val="17"/>
              </w:rPr>
              <w:t>Distributed-ledger platform upgrade</w:t>
            </w:r>
          </w:p>
        </w:tc>
      </w:tr>
      <w:tr>
        <w:tc>
          <w:tcPr>
            <w:tcW w:type="dxa" w:w="2880"/>
          </w:tcPr>
          <w:p>
            <w:r>
              <w:rPr>
                <w:sz w:val="17"/>
              </w:rPr>
            </w:r>
            <w:r>
              <w:rPr>
                <w:sz w:val="17"/>
              </w:rPr>
              <w:t>2035</w:t>
            </w:r>
          </w:p>
        </w:tc>
        <w:tc>
          <w:tcPr>
            <w:tcW w:type="dxa" w:w="2880"/>
          </w:tcPr>
          <w:p>
            <w:r>
              <w:rPr>
                <w:sz w:val="17"/>
              </w:rPr>
            </w:r>
            <w:r>
              <w:rPr>
                <w:sz w:val="17"/>
              </w:rPr>
              <w:t>2,300</w:t>
            </w:r>
          </w:p>
        </w:tc>
        <w:tc>
          <w:tcPr>
            <w:tcW w:type="dxa" w:w="2880"/>
          </w:tcPr>
          <w:p>
            <w:r>
              <w:rPr>
                <w:sz w:val="17"/>
              </w:rPr>
            </w:r>
            <w:r>
              <w:rPr>
                <w:sz w:val="17"/>
              </w:rPr>
              <w:t>Infrastructure expansion for a stack above RUB 20 tn</w:t>
            </w:r>
          </w:p>
        </w:tc>
      </w:tr>
      <w:tr>
        <w:tc>
          <w:tcPr>
            <w:tcW w:type="dxa" w:w="2880"/>
          </w:tcPr>
          <w:p>
            <w:r>
              <w:rPr>
                <w:sz w:val="17"/>
              </w:rPr>
            </w:r>
            <w:r>
              <w:rPr>
                <w:sz w:val="17"/>
              </w:rPr>
              <w:t>2036</w:t>
            </w:r>
          </w:p>
        </w:tc>
        <w:tc>
          <w:tcPr>
            <w:tcW w:type="dxa" w:w="2880"/>
          </w:tcPr>
          <w:p>
            <w:r>
              <w:rPr>
                <w:sz w:val="17"/>
              </w:rPr>
            </w:r>
            <w:r>
              <w:rPr>
                <w:sz w:val="17"/>
              </w:rPr>
              <w:t>2,000</w:t>
            </w:r>
          </w:p>
        </w:tc>
        <w:tc>
          <w:tcPr>
            <w:tcW w:type="dxa" w:w="2880"/>
          </w:tcPr>
          <w:p>
            <w:r>
              <w:rPr>
                <w:sz w:val="17"/>
              </w:rPr>
            </w:r>
            <w:r>
              <w:rPr>
                <w:sz w:val="17"/>
              </w:rPr>
              <w:t>Scheduled modernisation</w:t>
            </w:r>
          </w:p>
        </w:tc>
      </w:tr>
      <w:tr>
        <w:tc>
          <w:tcPr>
            <w:tcW w:type="dxa" w:w="2880"/>
          </w:tcPr>
          <w:p>
            <w:r>
              <w:rPr>
                <w:sz w:val="17"/>
              </w:rPr>
            </w:r>
            <w:r>
              <w:rPr>
                <w:b/>
                <w:sz w:val="17"/>
              </w:rPr>
              <w:t>Total</w:t>
            </w:r>
          </w:p>
        </w:tc>
        <w:tc>
          <w:tcPr>
            <w:tcW w:type="dxa" w:w="2880"/>
          </w:tcPr>
          <w:p>
            <w:r>
              <w:rPr>
                <w:sz w:val="17"/>
              </w:rPr>
            </w:r>
            <w:r>
              <w:rPr>
                <w:b/>
                <w:sz w:val="17"/>
              </w:rPr>
              <w:t>13,570</w:t>
            </w:r>
          </w:p>
        </w:tc>
        <w:tc>
          <w:tcPr>
            <w:tcW w:type="dxa" w:w="2880"/>
          </w:tcPr>
          <w:p>
            <w:r>
              <w:rPr>
                <w:sz w:val="17"/>
              </w:rPr>
            </w:r>
          </w:p>
        </w:tc>
      </w:tr>
    </w:tbl>
    <w:p/>
    <w:p>
      <w:pPr>
        <w:jc w:val="both"/>
      </w:pPr>
      <w:r>
        <w:t>For the first 18 months — RUB 720 mn. Depreciation over 7 years, straight line.</w:t>
      </w:r>
    </w:p>
    <w:p>
      <w:pPr>
        <w:ind w:left="360"/>
      </w:pPr>
      <w:r>
        <w:rPr>
          <w:i/>
          <w:color w:val="444444"/>
        </w:rPr>
        <w:t>The previous edition of the business plan stated "total CapEx over 10 years — RUB 1,300 mn", while the model's own table gave RUB 13,570 mn. An error of exactly ten times.</w:t>
      </w:r>
    </w:p>
    <w:p>
      <w:pPr>
        <w:pStyle w:val="Heading2"/>
      </w:pPr>
      <w:r>
        <w:t>4. Operating costs</w:t>
      </w:r>
    </w:p>
    <w:p>
      <w:pPr>
        <w:jc w:val="both"/>
      </w:pPr>
      <w:r>
        <w:t>Costs are assembled from two parts.</w:t>
      </w:r>
    </w:p>
    <w:p>
      <w:pPr>
        <w:jc w:val="both"/>
      </w:pPr>
      <w:r>
        <w:rPr>
          <w:b/>
        </w:rPr>
        <w:t>Payroll</w:t>
      </w:r>
      <w:r>
        <w:t xml:space="preserve"> = year-end headcount × average salary × 12 × 1.30 (social contributions of 30%). Headcount 40 → 370, first-year salary RUB 350 thousand per month, indexed at 6% a year.</w:t>
      </w:r>
    </w:p>
    <w:p>
      <w:pPr>
        <w:jc w:val="both"/>
      </w:pPr>
      <w:r>
        <w:rPr>
          <w:b/>
        </w:rPr>
        <w:t>Other costs</w:t>
      </w:r>
      <w:r>
        <w:t xml:space="preserve"> = a base of RUB 502 mn indexed at 4% a year + a variable part of 22% of revenue.</w:t>
      </w:r>
    </w:p>
    <w:p>
      <w:pPr>
        <w:jc w:val="both"/>
      </w:pPr>
      <w:r>
        <w:t>The first-year base breaks down as follows: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Item</w:t>
            </w:r>
          </w:p>
        </w:tc>
        <w:tc>
          <w:tcPr>
            <w:tcW w:type="dxa" w:w="4320"/>
          </w:tcPr>
          <w:p>
            <w:r>
              <w:rPr>
                <w:b/>
                <w:sz w:val="17"/>
              </w:rPr>
            </w:r>
            <w:r>
              <w:rPr>
                <w:b/>
                <w:sz w:val="17"/>
              </w:rPr>
              <w:t>RUB mn</w:t>
            </w:r>
          </w:p>
        </w:tc>
      </w:tr>
      <w:tr>
        <w:tc>
          <w:tcPr>
            <w:tcW w:type="dxa" w:w="4320"/>
          </w:tcPr>
          <w:p>
            <w:r>
              <w:rPr>
                <w:sz w:val="17"/>
              </w:rPr>
            </w:r>
            <w:r>
              <w:rPr>
                <w:sz w:val="17"/>
              </w:rPr>
              <w:t>Infrastructure (hosting, communications, information security)</w:t>
            </w:r>
          </w:p>
        </w:tc>
        <w:tc>
          <w:tcPr>
            <w:tcW w:type="dxa" w:w="4320"/>
          </w:tcPr>
          <w:p>
            <w:r>
              <w:rPr>
                <w:sz w:val="17"/>
              </w:rPr>
            </w:r>
            <w:r>
              <w:rPr>
                <w:sz w:val="17"/>
              </w:rPr>
              <w:t>117</w:t>
            </w:r>
          </w:p>
        </w:tc>
      </w:tr>
      <w:tr>
        <w:tc>
          <w:tcPr>
            <w:tcW w:type="dxa" w:w="4320"/>
          </w:tcPr>
          <w:p>
            <w:r>
              <w:rPr>
                <w:sz w:val="17"/>
              </w:rPr>
            </w:r>
            <w:r>
              <w:rPr>
                <w:sz w:val="17"/>
              </w:rPr>
              <w:t>Software licences</w:t>
            </w:r>
          </w:p>
        </w:tc>
        <w:tc>
          <w:tcPr>
            <w:tcW w:type="dxa" w:w="4320"/>
          </w:tcPr>
          <w:p>
            <w:r>
              <w:rPr>
                <w:sz w:val="17"/>
              </w:rPr>
            </w:r>
            <w:r>
              <w:rPr>
                <w:sz w:val="17"/>
              </w:rPr>
              <w:t>50</w:t>
            </w:r>
          </w:p>
        </w:tc>
      </w:tr>
      <w:tr>
        <w:tc>
          <w:tcPr>
            <w:tcW w:type="dxa" w:w="4320"/>
          </w:tcPr>
          <w:p>
            <w:r>
              <w:rPr>
                <w:sz w:val="17"/>
              </w:rPr>
            </w:r>
            <w:r>
              <w:rPr>
                <w:sz w:val="17"/>
              </w:rPr>
              <w:t>Marketing</w:t>
            </w:r>
          </w:p>
        </w:tc>
        <w:tc>
          <w:tcPr>
            <w:tcW w:type="dxa" w:w="4320"/>
          </w:tcPr>
          <w:p>
            <w:r>
              <w:rPr>
                <w:sz w:val="17"/>
              </w:rPr>
            </w:r>
            <w:r>
              <w:rPr>
                <w:sz w:val="17"/>
              </w:rPr>
              <w:t>60</w:t>
            </w:r>
          </w:p>
        </w:tc>
      </w:tr>
      <w:tr>
        <w:tc>
          <w:tcPr>
            <w:tcW w:type="dxa" w:w="4320"/>
          </w:tcPr>
          <w:p>
            <w:r>
              <w:rPr>
                <w:sz w:val="17"/>
              </w:rPr>
            </w:r>
            <w:r>
              <w:rPr>
                <w:sz w:val="17"/>
              </w:rPr>
              <w:t>Legal support and audit</w:t>
            </w:r>
          </w:p>
        </w:tc>
        <w:tc>
          <w:tcPr>
            <w:tcW w:type="dxa" w:w="4320"/>
          </w:tcPr>
          <w:p>
            <w:r>
              <w:rPr>
                <w:sz w:val="17"/>
              </w:rPr>
            </w:r>
            <w:r>
              <w:rPr>
                <w:sz w:val="17"/>
              </w:rPr>
              <w:t>70</w:t>
            </w:r>
          </w:p>
        </w:tc>
      </w:tr>
      <w:tr>
        <w:tc>
          <w:tcPr>
            <w:tcW w:type="dxa" w:w="4320"/>
          </w:tcPr>
          <w:p>
            <w:r>
              <w:rPr>
                <w:sz w:val="17"/>
              </w:rPr>
            </w:r>
            <w:r>
              <w:rPr>
                <w:sz w:val="17"/>
              </w:rPr>
              <w:t>Cybersecurity (monitoring centre, penetration testing)</w:t>
            </w:r>
          </w:p>
        </w:tc>
        <w:tc>
          <w:tcPr>
            <w:tcW w:type="dxa" w:w="4320"/>
          </w:tcPr>
          <w:p>
            <w:r>
              <w:rPr>
                <w:sz w:val="17"/>
              </w:rPr>
            </w:r>
            <w:r>
              <w:rPr>
                <w:sz w:val="17"/>
              </w:rPr>
              <w:t>50</w:t>
            </w:r>
          </w:p>
        </w:tc>
      </w:tr>
      <w:tr>
        <w:tc>
          <w:tcPr>
            <w:tcW w:type="dxa" w:w="4320"/>
          </w:tcPr>
          <w:p>
            <w:r>
              <w:rPr>
                <w:sz w:val="17"/>
              </w:rPr>
            </w:r>
            <w:r>
              <w:rPr>
                <w:sz w:val="17"/>
              </w:rPr>
              <w:t>Integrators</w:t>
            </w:r>
          </w:p>
        </w:tc>
        <w:tc>
          <w:tcPr>
            <w:tcW w:type="dxa" w:w="4320"/>
          </w:tcPr>
          <w:p>
            <w:r>
              <w:rPr>
                <w:sz w:val="17"/>
              </w:rPr>
            </w:r>
            <w:r>
              <w:rPr>
                <w:sz w:val="17"/>
              </w:rPr>
              <w:t>95</w:t>
            </w:r>
          </w:p>
        </w:tc>
      </w:tr>
      <w:tr>
        <w:tc>
          <w:tcPr>
            <w:tcW w:type="dxa" w:w="4320"/>
          </w:tcPr>
          <w:p>
            <w:r>
              <w:rPr>
                <w:sz w:val="17"/>
              </w:rPr>
            </w:r>
            <w:r>
              <w:rPr>
                <w:sz w:val="17"/>
              </w:rPr>
              <w:t>Other</w:t>
            </w:r>
          </w:p>
        </w:tc>
        <w:tc>
          <w:tcPr>
            <w:tcW w:type="dxa" w:w="4320"/>
          </w:tcPr>
          <w:p>
            <w:r>
              <w:rPr>
                <w:sz w:val="17"/>
              </w:rPr>
            </w:r>
            <w:r>
              <w:rPr>
                <w:sz w:val="17"/>
              </w:rPr>
              <w:t>60</w:t>
            </w:r>
          </w:p>
        </w:tc>
      </w:tr>
      <w:tr>
        <w:tc>
          <w:tcPr>
            <w:tcW w:type="dxa" w:w="4320"/>
          </w:tcPr>
          <w:p>
            <w:r>
              <w:rPr>
                <w:sz w:val="17"/>
              </w:rPr>
            </w:r>
            <w:r>
              <w:rPr>
                <w:b/>
                <w:sz w:val="17"/>
              </w:rPr>
              <w:t>Total</w:t>
            </w:r>
          </w:p>
        </w:tc>
        <w:tc>
          <w:tcPr>
            <w:tcW w:type="dxa" w:w="4320"/>
          </w:tcPr>
          <w:p>
            <w:r>
              <w:rPr>
                <w:sz w:val="17"/>
              </w:rPr>
            </w:r>
            <w:r>
              <w:rPr>
                <w:b/>
                <w:sz w:val="17"/>
              </w:rPr>
              <w:t>502</w:t>
            </w:r>
          </w:p>
        </w:tc>
      </w:tr>
    </w:tbl>
    <w:p/>
    <w:p>
      <w:pPr>
        <w:jc w:val="both"/>
      </w:pPr>
      <w:r>
        <w:t>The variable 22% of revenue covers acquiring, infrastructure under load, compliance, legal support of volume and customer acquisition. The level is calibrated so that the mature-year margin sits within the range of comparable infrastructure operators (65–75%). The result is 75.1% in 2036.</w:t>
      </w:r>
    </w:p>
    <w:p>
      <w:pPr>
        <w:ind w:left="360"/>
      </w:pPr>
      <w:r>
        <w:rPr>
          <w:i/>
          <w:color w:val="444444"/>
        </w:rPr>
        <w:t>In the previous edition payroll was not derived from headcount: the 2029 line corresponded to roughly twice the stated headcount, and the 2026 line to roughly half of it. At the same time the total costs of the second year (RUB 820 mn) did not even cover the payroll of the stated 120 people (RUB 695 mn), leaving RUB 125 mn for everything else against RUB 502 mn a year earlier.</w:t>
      </w:r>
    </w:p>
    <w:p>
      <w:pPr>
        <w:jc w:val="both"/>
      </w:pPr>
      <w:r>
        <w:rPr>
          <w:b/>
        </w:rPr>
        <w:t>What the costs do not contain.</w:t>
      </w:r>
      <w:r>
        <w:t xml:space="preserve"> No separate line for customer acquisition; no capital requirements for an information-system operator; no reserves. That is a limitation of the model, not a conclusion that such costs will not arise.</w:t>
      </w:r>
    </w:p>
    <w:p>
      <w:pPr>
        <w:pStyle w:val="Heading2"/>
      </w:pPr>
      <w:r>
        <w:t>5. Taxes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7"/>
              </w:rPr>
            </w:r>
            <w:r>
              <w:rPr>
                <w:b/>
                <w:sz w:val="17"/>
              </w:rPr>
              <w:t>Parameter</w:t>
            </w:r>
          </w:p>
        </w:tc>
        <w:tc>
          <w:tcPr>
            <w:tcW w:type="dxa" w:w="2880"/>
          </w:tcPr>
          <w:p>
            <w:r>
              <w:rPr>
                <w:b/>
                <w:sz w:val="17"/>
              </w:rPr>
            </w:r>
            <w:r>
              <w:rPr>
                <w:b/>
                <w:sz w:val="17"/>
              </w:rPr>
              <w:t>Value</w:t>
            </w:r>
          </w:p>
        </w:tc>
        <w:tc>
          <w:tcPr>
            <w:tcW w:type="dxa" w:w="2880"/>
          </w:tcPr>
          <w:p>
            <w:r>
              <w:rPr>
                <w:b/>
                <w:sz w:val="17"/>
              </w:rPr>
            </w:r>
            <w:r>
              <w:rPr>
                <w:b/>
                <w:sz w:val="17"/>
              </w:rPr>
              <w:t>Basis</w:t>
            </w:r>
          </w:p>
        </w:tc>
      </w:tr>
      <w:tr>
        <w:tc>
          <w:tcPr>
            <w:tcW w:type="dxa" w:w="2880"/>
          </w:tcPr>
          <w:p>
            <w:r>
              <w:rPr>
                <w:sz w:val="17"/>
              </w:rPr>
            </w:r>
            <w:r>
              <w:rPr>
                <w:sz w:val="17"/>
              </w:rPr>
              <w:t>Profit tax</w:t>
            </w:r>
          </w:p>
        </w:tc>
        <w:tc>
          <w:tcPr>
            <w:tcW w:type="dxa" w:w="2880"/>
          </w:tcPr>
          <w:p>
            <w:r>
              <w:rPr>
                <w:sz w:val="17"/>
              </w:rPr>
            </w:r>
            <w:r>
              <w:rPr>
                <w:sz w:val="17"/>
              </w:rPr>
              <w:t>25%</w:t>
            </w:r>
          </w:p>
        </w:tc>
        <w:tc>
          <w:tcPr>
            <w:tcW w:type="dxa" w:w="2880"/>
          </w:tcPr>
          <w:p>
            <w:r>
              <w:rPr>
                <w:sz w:val="17"/>
              </w:rPr>
            </w:r>
            <w:r>
              <w:rPr>
                <w:sz w:val="17"/>
              </w:rPr>
              <w:t>Federal Law 176-FZ of 12.07.2024, in force from 01.01.2025</w:t>
            </w:r>
          </w:p>
        </w:tc>
      </w:tr>
      <w:tr>
        <w:tc>
          <w:tcPr>
            <w:tcW w:type="dxa" w:w="2880"/>
          </w:tcPr>
          <w:p>
            <w:r>
              <w:rPr>
                <w:sz w:val="17"/>
              </w:rPr>
            </w:r>
            <w:r>
              <w:rPr>
                <w:sz w:val="17"/>
              </w:rPr>
              <w:t>Carry-forward of prior-year losses</w:t>
            </w:r>
          </w:p>
        </w:tc>
        <w:tc>
          <w:tcPr>
            <w:tcW w:type="dxa" w:w="2880"/>
          </w:tcPr>
          <w:p>
            <w:r>
              <w:rPr>
                <w:sz w:val="17"/>
              </w:rPr>
            </w:r>
            <w:r>
              <w:rPr>
                <w:sz w:val="17"/>
              </w:rPr>
              <w:t>up to 50% of the tax base</w:t>
            </w:r>
          </w:p>
        </w:tc>
        <w:tc>
          <w:tcPr>
            <w:tcW w:type="dxa" w:w="2880"/>
          </w:tcPr>
          <w:p>
            <w:r>
              <w:rPr>
                <w:sz w:val="17"/>
              </w:rPr>
            </w:r>
            <w:r>
              <w:rPr>
                <w:sz w:val="17"/>
              </w:rPr>
              <w:t>Art. 283 of the Tax Code</w:t>
            </w:r>
          </w:p>
        </w:tc>
      </w:tr>
      <w:tr>
        <w:tc>
          <w:tcPr>
            <w:tcW w:type="dxa" w:w="2880"/>
          </w:tcPr>
          <w:p>
            <w:r>
              <w:rPr>
                <w:sz w:val="17"/>
              </w:rPr>
            </w:r>
            <w:r>
              <w:rPr>
                <w:sz w:val="17"/>
              </w:rPr>
              <w:t>Social contributions</w:t>
            </w:r>
          </w:p>
        </w:tc>
        <w:tc>
          <w:tcPr>
            <w:tcW w:type="dxa" w:w="2880"/>
          </w:tcPr>
          <w:p>
            <w:r>
              <w:rPr>
                <w:sz w:val="17"/>
              </w:rPr>
            </w:r>
            <w:r>
              <w:rPr>
                <w:sz w:val="17"/>
              </w:rPr>
              <w:t>30%</w:t>
            </w:r>
          </w:p>
        </w:tc>
        <w:tc>
          <w:tcPr>
            <w:tcW w:type="dxa" w:w="2880"/>
          </w:tcPr>
          <w:p>
            <w:r>
              <w:rPr>
                <w:sz w:val="17"/>
              </w:rPr>
            </w:r>
            <w:r>
              <w:rPr>
                <w:sz w:val="17"/>
              </w:rPr>
              <w:t>Ch. 34 of the Tax Code</w:t>
            </w:r>
          </w:p>
        </w:tc>
      </w:tr>
    </w:tbl>
    <w:p/>
    <w:p>
      <w:pPr>
        <w:jc w:val="both"/>
      </w:pPr>
      <w:r>
        <w:t>Earlier editions used a rate of 20% — it ceased to apply from 2025.</w:t>
      </w:r>
    </w:p>
    <w:p>
      <w:pPr>
        <w:jc w:val="both"/>
      </w:pPr>
      <w:r>
        <w:t xml:space="preserve">The profit-tax relief for accredited IT organisations and the reduced social contributions are </w:t>
      </w:r>
      <w:r>
        <w:rPr>
          <w:b/>
        </w:rPr>
        <w:t>not</w:t>
      </w:r>
      <w:r>
        <w:t xml:space="preserve"> built into the base case: that is upside, not an assumption.</w:t>
      </w:r>
    </w:p>
    <w:p>
      <w:pPr>
        <w:jc w:val="both"/>
      </w:pPr>
      <w:r>
        <w:rPr>
          <w:b/>
        </w:rPr>
        <w:t>VAT.</w:t>
      </w:r>
      <w:r>
        <w:t xml:space="preserve"> Transactions in digital financial assets are not subject to value added tax: such assets are classified as securities, and the sale of securities is VAT-exempt (sub-clause 12, clause 2, Art. 149 of the Tax Code). The position was confirmed by the owner of the project on 07.09.2026.</w:t>
      </w:r>
    </w:p>
    <w:p>
      <w:pPr>
        <w:pStyle w:val="Heading2"/>
      </w:pPr>
      <w:r>
        <w:t>6. The discount rate</w:t>
      </w:r>
    </w:p>
    <w:p>
      <w:pPr>
        <w:jc w:val="both"/>
      </w:pPr>
      <w:r>
        <w:t>The method of construction is a build-up of risk premiums on top of the rouble risk-free rate.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7"/>
              </w:rPr>
            </w:r>
            <w:r>
              <w:rPr>
                <w:b/>
                <w:sz w:val="17"/>
              </w:rPr>
              <w:t>Component</w:t>
            </w:r>
          </w:p>
        </w:tc>
        <w:tc>
          <w:tcPr>
            <w:tcW w:type="dxa" w:w="2880"/>
          </w:tcPr>
          <w:p>
            <w:r>
              <w:rPr>
                <w:b/>
                <w:sz w:val="17"/>
              </w:rPr>
            </w:r>
            <w:r>
              <w:rPr>
                <w:b/>
                <w:sz w:val="17"/>
              </w:rPr>
              <w:t>Value</w:t>
            </w:r>
          </w:p>
        </w:tc>
        <w:tc>
          <w:tcPr>
            <w:tcW w:type="dxa" w:w="2880"/>
          </w:tcPr>
          <w:p>
            <w:r>
              <w:rPr>
                <w:b/>
                <w:sz w:val="17"/>
              </w:rPr>
            </w:r>
            <w:r>
              <w:rPr>
                <w:b/>
                <w:sz w:val="17"/>
              </w:rPr>
              <w:t>Source</w:t>
            </w:r>
          </w:p>
        </w:tc>
      </w:tr>
      <w:tr>
        <w:tc>
          <w:tcPr>
            <w:tcW w:type="dxa" w:w="2880"/>
          </w:tcPr>
          <w:p>
            <w:r>
              <w:rPr>
                <w:sz w:val="17"/>
              </w:rPr>
            </w:r>
            <w:r>
              <w:rPr>
                <w:sz w:val="17"/>
              </w:rPr>
              <w:t>Risk-free rate (10-year OFZ)</w:t>
            </w:r>
          </w:p>
        </w:tc>
        <w:tc>
          <w:tcPr>
            <w:tcW w:type="dxa" w:w="2880"/>
          </w:tcPr>
          <w:p>
            <w:r>
              <w:rPr>
                <w:sz w:val="17"/>
              </w:rPr>
            </w:r>
            <w:r>
              <w:rPr>
                <w:sz w:val="17"/>
              </w:rPr>
              <w:t>14.73%</w:t>
            </w:r>
          </w:p>
        </w:tc>
        <w:tc>
          <w:tcPr>
            <w:tcW w:type="dxa" w:w="2880"/>
          </w:tcPr>
          <w:p>
            <w:r>
              <w:rPr>
                <w:sz w:val="17"/>
              </w:rPr>
            </w:r>
            <w:r>
              <w:rPr>
                <w:sz w:val="17"/>
              </w:rPr>
              <w:t>market data as at 21.05.2026</w:t>
            </w:r>
          </w:p>
        </w:tc>
      </w:tr>
      <w:tr>
        <w:tc>
          <w:tcPr>
            <w:tcW w:type="dxa" w:w="2880"/>
          </w:tcPr>
          <w:p>
            <w:r>
              <w:rPr>
                <w:sz w:val="17"/>
              </w:rPr>
            </w:r>
            <w:r>
              <w:rPr>
                <w:sz w:val="17"/>
              </w:rPr>
              <w:t>Equity risk premium × beta (8.13% × 1.15)</w:t>
            </w:r>
          </w:p>
        </w:tc>
        <w:tc>
          <w:tcPr>
            <w:tcW w:type="dxa" w:w="2880"/>
          </w:tcPr>
          <w:p>
            <w:r>
              <w:rPr>
                <w:sz w:val="17"/>
              </w:rPr>
            </w:r>
            <w:r>
              <w:rPr>
                <w:sz w:val="17"/>
              </w:rPr>
              <w:t>9.35%</w:t>
            </w:r>
          </w:p>
        </w:tc>
        <w:tc>
          <w:tcPr>
            <w:tcW w:type="dxa" w:w="2880"/>
          </w:tcPr>
          <w:p>
            <w:r>
              <w:rPr>
                <w:sz w:val="17"/>
              </w:rPr>
            </w:r>
            <w:r>
              <w:rPr>
                <w:sz w:val="17"/>
              </w:rPr>
              <w:t>Damodaran</w:t>
            </w:r>
          </w:p>
        </w:tc>
      </w:tr>
      <w:tr>
        <w:tc>
          <w:tcPr>
            <w:tcW w:type="dxa" w:w="2880"/>
          </w:tcPr>
          <w:p>
            <w:r>
              <w:rPr>
                <w:sz w:val="17"/>
              </w:rPr>
            </w:r>
            <w:r>
              <w:rPr>
                <w:sz w:val="17"/>
              </w:rPr>
              <w:t>Stage premium</w:t>
            </w:r>
          </w:p>
        </w:tc>
        <w:tc>
          <w:tcPr>
            <w:tcW w:type="dxa" w:w="2880"/>
          </w:tcPr>
          <w:p>
            <w:r>
              <w:rPr>
                <w:sz w:val="17"/>
              </w:rPr>
            </w:r>
            <w:r>
              <w:rPr>
                <w:sz w:val="17"/>
              </w:rPr>
              <w:t>2.50%</w:t>
            </w:r>
          </w:p>
        </w:tc>
        <w:tc>
          <w:tcPr>
            <w:tcW w:type="dxa" w:w="2880"/>
          </w:tcPr>
          <w:p>
            <w:r>
              <w:rPr>
                <w:sz w:val="17"/>
              </w:rPr>
            </w:r>
            <w:r>
              <w:rPr>
                <w:sz w:val="17"/>
              </w:rPr>
              <w:t>IPEV Guidelines</w:t>
            </w:r>
          </w:p>
        </w:tc>
      </w:tr>
      <w:tr>
        <w:tc>
          <w:tcPr>
            <w:tcW w:type="dxa" w:w="2880"/>
          </w:tcPr>
          <w:p>
            <w:r>
              <w:rPr>
                <w:sz w:val="17"/>
              </w:rPr>
            </w:r>
            <w:r>
              <w:rPr>
                <w:sz w:val="17"/>
              </w:rPr>
              <w:t>Illiquidity premium</w:t>
            </w:r>
          </w:p>
        </w:tc>
        <w:tc>
          <w:tcPr>
            <w:tcW w:type="dxa" w:w="2880"/>
          </w:tcPr>
          <w:p>
            <w:r>
              <w:rPr>
                <w:sz w:val="17"/>
              </w:rPr>
            </w:r>
            <w:r>
              <w:rPr>
                <w:sz w:val="17"/>
              </w:rPr>
              <w:t>3.00%</w:t>
            </w:r>
          </w:p>
        </w:tc>
        <w:tc>
          <w:tcPr>
            <w:tcW w:type="dxa" w:w="2880"/>
          </w:tcPr>
          <w:p>
            <w:r>
              <w:rPr>
                <w:sz w:val="17"/>
              </w:rPr>
            </w:r>
            <w:r>
              <w:rPr>
                <w:sz w:val="17"/>
              </w:rPr>
              <w:t>IPEV Guidelines</w:t>
            </w:r>
          </w:p>
        </w:tc>
      </w:tr>
      <w:tr>
        <w:tc>
          <w:tcPr>
            <w:tcW w:type="dxa" w:w="2880"/>
          </w:tcPr>
          <w:p>
            <w:r>
              <w:rPr>
                <w:sz w:val="17"/>
              </w:rPr>
            </w:r>
            <w:r>
              <w:rPr>
                <w:b/>
                <w:sz w:val="17"/>
              </w:rPr>
              <w:t>Total</w:t>
            </w:r>
          </w:p>
        </w:tc>
        <w:tc>
          <w:tcPr>
            <w:tcW w:type="dxa" w:w="2880"/>
          </w:tcPr>
          <w:p>
            <w:r>
              <w:rPr>
                <w:sz w:val="17"/>
              </w:rPr>
            </w:r>
            <w:r>
              <w:rPr>
                <w:b/>
                <w:sz w:val="17"/>
              </w:rPr>
              <w:t>29.58%</w:t>
            </w:r>
          </w:p>
        </w:tc>
        <w:tc>
          <w:tcPr>
            <w:tcW w:type="dxa" w:w="2880"/>
          </w:tcPr>
          <w:p>
            <w:r>
              <w:rPr>
                <w:sz w:val="17"/>
              </w:rPr>
            </w:r>
          </w:p>
        </w:tc>
      </w:tr>
    </w:tbl>
    <w:p/>
    <w:p>
      <w:pPr>
        <w:jc w:val="both"/>
      </w:pPr>
      <w:r>
        <w:t>A country risk premium is not added separately: it is already contained in the rouble risk-free rate. Adding it as a second layer would be double counting.</w:t>
      </w:r>
    </w:p>
    <w:p>
      <w:pPr>
        <w:jc w:val="both"/>
      </w:pPr>
      <w:r>
        <w:t>The defensible interval is 27–33%; it is used as the sensitivity range.</w:t>
      </w:r>
    </w:p>
    <w:p>
      <w:pPr>
        <w:ind w:left="360"/>
      </w:pPr>
      <w:r>
        <w:rPr>
          <w:i/>
          <w:color w:val="444444"/>
        </w:rPr>
        <w:t>In the previous edition the same calculation appeared in two documents with different components (2.5% + 3.0% against 1.5% + 2.5%) and with a different equity risk premium (8.13% against 9%), while one passage stated outright that "the base case uses 30%". The resulting figure was nevertheless quoted everywhere as 29.5%.</w:t>
      </w:r>
    </w:p>
    <w:p>
      <w:pPr>
        <w:pStyle w:val="Heading2"/>
      </w:pPr>
      <w:r>
        <w:t>7. Terminal value</w:t>
      </w:r>
    </w:p>
    <w:p>
      <w:pPr>
        <w:jc w:val="both"/>
      </w:pPr>
      <w:r>
        <w:t>A single method — the Gordon model on a normalised cash flow:</w:t>
      </w:r>
    </w:p>
    <w:p>
      <w:pPr>
        <w:pStyle w:val="ListBullet"/>
      </w:pPr>
      <w:r>
        <w:t>in the steady state capital expenditure is set equal to depreciation;</w:t>
      </w:r>
    </w:p>
    <w:p>
      <w:pPr>
        <w:pStyle w:val="ListBullet"/>
      </w:pPr>
      <w:r>
        <w:t>the increase in working capital equals the growth rate multiplied by working capital;</w:t>
      </w:r>
    </w:p>
    <w:p>
      <w:pPr>
        <w:pStyle w:val="ListBullet"/>
      </w:pPr>
      <w:r>
        <w:t>the growth rate g = 4% is nominal, equal to the inflation target, that is zero real growth.</w:t>
      </w:r>
    </w:p>
    <w:p>
      <w:pPr>
        <w:jc w:val="both"/>
      </w:pPr>
      <w:r>
        <w:t>The share of terminal value in the valuation is 38%. That is within the normal range for a growing infrastructure company but at its upper edge; in a discussion with an investor this share should be stated openly.</w:t>
      </w:r>
    </w:p>
    <w:p>
      <w:pPr>
        <w:ind w:left="360"/>
      </w:pPr>
      <w:r>
        <w:rPr>
          <w:i/>
          <w:color w:val="444444"/>
        </w:rPr>
        <w:t>Earlier editions used three incompatible approaches at once: a single-stage Gordon model with g=2% in the financial model, a three-stage model in the calculation table, and g=4% in the business plan. The review of 10.06.2026 acknowledged that terminal value had been understated roughly threefold, but the correction was made only in the text, not in the calculation.</w:t>
      </w:r>
    </w:p>
    <w:p>
      <w:pPr>
        <w:pStyle w:val="Heading2"/>
      </w:pPr>
      <w:r>
        <w:t>8. Working capital</w:t>
      </w:r>
    </w:p>
    <w:p>
      <w:pPr>
        <w:jc w:val="both"/>
      </w:pPr>
      <w:r>
        <w:t>5% of revenue — a usual assumption for financial operators (payment systems in Russia 3–7%, depositories 5–10%).</w:t>
      </w:r>
    </w:p>
    <w:p>
      <w:pPr>
        <w:pStyle w:val="Heading2"/>
      </w:pPr>
      <w:r>
        <w:t>9. Sensitivity and simulation</w:t>
      </w:r>
    </w:p>
    <w:p>
      <w:pPr>
        <w:jc w:val="both"/>
      </w:pPr>
      <w:r>
        <w:t>Computed programmatically:</w:t>
      </w:r>
    </w:p>
    <w:p>
      <w:pPr>
        <w:pStyle w:val="ListBullet"/>
      </w:pPr>
      <w:r>
        <w:t>discount rate × market share (a 5 × 5 grid);</w:t>
      </w:r>
    </w:p>
    <w:p>
      <w:pPr>
        <w:pStyle w:val="ListBullet"/>
      </w:pPr>
      <w:r>
        <w:t>deviation of operating costs from −10% to +30%;</w:t>
      </w:r>
    </w:p>
    <w:p>
      <w:pPr>
        <w:pStyle w:val="ListBullet"/>
      </w:pPr>
      <w:r>
        <w:t>launch delay of 0/1/2/3 years;</w:t>
      </w:r>
    </w:p>
    <w:p>
      <w:pPr>
        <w:pStyle w:val="ListBullet"/>
      </w:pPr>
      <w:r>
        <w:t>simulation, 2,000 iterations, generator with a fixed seed — the result is reproducible.</w:t>
      </w:r>
    </w:p>
    <w:p>
      <w:pPr>
        <w:jc w:val="both"/>
      </w:pPr>
      <w:r>
        <w:t>The principal conclusion of the sensitivity analysis: costs barely affect value (a 30% increase changes it by 8%), while timing is decisive (a year of delay costs a quarter of the value).</w:t>
      </w:r>
    </w:p>
    <w:p>
      <w:pPr>
        <w:ind w:left="360"/>
      </w:pPr>
      <w:r>
        <w:rPr>
          <w:i/>
          <w:color w:val="444444"/>
        </w:rPr>
        <w:t>Earlier editions quoted results of a simulation — a median of RUB 94 bn, a P10–P90 interval of RUB 42–168 bn, a probability of negative value of 4.2% — while no such calculation existed; in two documents the same figures differed (a median of 91 against 94). The simulation is now genuinely performed, and its median is RUB 39.2 bn: it allows for the probability of a launch delay, which earlier estimates did not.</w:t>
      </w:r>
    </w:p>
    <w:p>
      <w:pPr>
        <w:pStyle w:val="Heading2"/>
      </w:pPr>
      <w:r>
        <w:t>10. What the model does not include, and why</w:t>
      </w:r>
    </w:p>
    <w:p>
      <w:pPr>
        <w:pStyle w:val="ListNumber"/>
      </w:pPr>
      <w:r>
        <w:rPr>
          <w:b/>
        </w:rPr>
        <w:t>State subsidies</w:t>
      </w:r>
      <w:r>
        <w:t xml:space="preserve"> — upside, not an assumption.</w:t>
      </w:r>
    </w:p>
    <w:p>
      <w:pPr>
        <w:pStyle w:val="ListNumber"/>
      </w:pPr>
      <w:r>
        <w:rPr>
          <w:b/>
        </w:rPr>
        <w:t>Debt financing</w:t>
      </w:r>
      <w:r>
        <w:t xml:space="preserve"> — the model is equity-only; a mixed structure would add an interest tax shield.</w:t>
      </w:r>
    </w:p>
    <w:p>
      <w:pPr>
        <w:pStyle w:val="ListNumber"/>
      </w:pPr>
      <w:r>
        <w:rPr>
          <w:b/>
        </w:rPr>
        <w:t>Currency risk</w:t>
      </w:r>
      <w:r>
        <w:t xml:space="preserve"> — all flows are in roubles.</w:t>
      </w:r>
    </w:p>
    <w:p>
      <w:pPr>
        <w:pStyle w:val="ListNumber"/>
      </w:pPr>
      <w:r>
        <w:rPr>
          <w:b/>
        </w:rPr>
        <w:t>Competition for collateral</w:t>
      </w:r>
      <w:r>
        <w:t xml:space="preserve"> — the base case assumes the category is unique in the early years; the risk is covered by the conservative scenario.</w:t>
      </w:r>
    </w:p>
    <w:p>
      <w:pPr>
        <w:pStyle w:val="ListNumber"/>
      </w:pPr>
      <w:r>
        <w:rPr>
          <w:b/>
        </w:rPr>
        <w:t>A refusal by the regulator</w:t>
      </w:r>
      <w:r>
        <w:t xml:space="preserve"> — disclosed in </w:t>
      </w:r>
      <w:r>
        <w:rPr>
          <w:rFonts w:ascii="Consolas" w:hAnsi="Consolas"/>
          <w:sz w:val="18"/>
        </w:rPr>
        <w:t>04_Бизнес-план/Wedge_pilot-light.md</w:t>
      </w:r>
      <w:r>
        <w:t>; in that case the conservative scenario applies (enterprise value RUB 20.1 bn).</w:t>
      </w:r>
    </w:p>
    <w:p>
      <w:pPr>
        <w:pStyle w:val="ListNumber"/>
      </w:pPr>
      <w:r>
        <w:rPr>
          <w:b/>
        </w:rPr>
        <w:t>Capital requirements for an information-system operator</w:t>
      </w:r>
      <w:r>
        <w:t xml:space="preserve"> — not modelled; they require verification against Federal Law 259-FZ and the regulations of the Bank of Russia.</w:t>
      </w:r>
    </w:p>
    <w:p>
      <w:pPr>
        <w:pStyle w:val="ListNumber"/>
      </w:pPr>
      <w:r>
        <w:rPr>
          <w:b/>
        </w:rPr>
        <w:t>Customer acquisition cost</w:t>
      </w:r>
      <w:r>
        <w:t xml:space="preserve"> — not shown as a separate line.</w:t>
      </w:r>
    </w:p>
    <w:p>
      <w:pPr>
        <w:pStyle w:val="Heading2"/>
      </w:pPr>
      <w:r>
        <w:t>11. Sources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Data</w:t>
            </w:r>
          </w:p>
        </w:tc>
        <w:tc>
          <w:tcPr>
            <w:tcW w:type="dxa" w:w="4320"/>
          </w:tcPr>
          <w:p>
            <w:r>
              <w:rPr>
                <w:b/>
                <w:sz w:val="17"/>
              </w:rPr>
            </w:r>
            <w:r>
              <w:rPr>
                <w:b/>
                <w:sz w:val="17"/>
              </w:rPr>
              <w:t>Source</w:t>
            </w:r>
          </w:p>
        </w:tc>
      </w:tr>
      <w:tr>
        <w:tc>
          <w:tcPr>
            <w:tcW w:type="dxa" w:w="4320"/>
          </w:tcPr>
          <w:p>
            <w:r>
              <w:rPr>
                <w:sz w:val="17"/>
              </w:rPr>
            </w:r>
            <w:r>
              <w:rPr>
                <w:sz w:val="17"/>
              </w:rPr>
              <w:t>Collateral capacity</w:t>
            </w:r>
          </w:p>
        </w:tc>
        <w:tc>
          <w:tcPr>
            <w:tcW w:type="dxa" w:w="4320"/>
          </w:tcPr>
          <w:p>
            <w:r>
              <w:rPr>
                <w:sz w:val="17"/>
              </w:rPr>
            </w:r>
            <w:r>
              <w:rPr>
                <w:sz w:val="17"/>
              </w:rPr>
              <w:t>the author's concept</w:t>
            </w:r>
          </w:p>
        </w:tc>
      </w:tr>
      <w:tr>
        <w:tc>
          <w:tcPr>
            <w:tcW w:type="dxa" w:w="4320"/>
          </w:tcPr>
          <w:p>
            <w:r>
              <w:rPr>
                <w:sz w:val="17"/>
              </w:rPr>
            </w:r>
            <w:r>
              <w:rPr>
                <w:sz w:val="17"/>
              </w:rPr>
              <w:t>Russian housing stock</w:t>
            </w:r>
          </w:p>
        </w:tc>
        <w:tc>
          <w:tcPr>
            <w:tcW w:type="dxa" w:w="4320"/>
          </w:tcPr>
          <w:p>
            <w:r>
              <w:rPr>
                <w:sz w:val="17"/>
              </w:rPr>
            </w:r>
            <w:r>
              <w:rPr>
                <w:sz w:val="17"/>
              </w:rPr>
              <w:t>Rosstat, form No. 1-жилфонд</w:t>
            </w:r>
          </w:p>
        </w:tc>
      </w:tr>
      <w:tr>
        <w:tc>
          <w:tcPr>
            <w:tcW w:type="dxa" w:w="4320"/>
          </w:tcPr>
          <w:p>
            <w:r>
              <w:rPr>
                <w:sz w:val="17"/>
              </w:rPr>
            </w:r>
            <w:r>
              <w:rPr>
                <w:sz w:val="17"/>
              </w:rPr>
              <w:t>Tax rates</w:t>
            </w:r>
          </w:p>
        </w:tc>
        <w:tc>
          <w:tcPr>
            <w:tcW w:type="dxa" w:w="4320"/>
          </w:tcPr>
          <w:p>
            <w:r>
              <w:rPr>
                <w:sz w:val="17"/>
              </w:rPr>
            </w:r>
            <w:r>
              <w:rPr>
                <w:sz w:val="17"/>
              </w:rPr>
              <w:t>Tax Code; Federal Law 176-FZ of 12.07.2024</w:t>
            </w:r>
          </w:p>
        </w:tc>
      </w:tr>
      <w:tr>
        <w:tc>
          <w:tcPr>
            <w:tcW w:type="dxa" w:w="4320"/>
          </w:tcPr>
          <w:p>
            <w:r>
              <w:rPr>
                <w:sz w:val="17"/>
              </w:rPr>
            </w:r>
            <w:r>
              <w:rPr>
                <w:sz w:val="17"/>
              </w:rPr>
              <w:t>Inflation target</w:t>
            </w:r>
          </w:p>
        </w:tc>
        <w:tc>
          <w:tcPr>
            <w:tcW w:type="dxa" w:w="4320"/>
          </w:tcPr>
          <w:p>
            <w:r>
              <w:rPr>
                <w:sz w:val="17"/>
              </w:rPr>
            </w:r>
            <w:r>
              <w:rPr>
                <w:sz w:val="17"/>
              </w:rPr>
              <w:t>Monetary Policy Guidelines of the Bank of Russia</w:t>
            </w:r>
          </w:p>
        </w:tc>
      </w:tr>
      <w:tr>
        <w:tc>
          <w:tcPr>
            <w:tcW w:type="dxa" w:w="4320"/>
          </w:tcPr>
          <w:p>
            <w:r>
              <w:rPr>
                <w:sz w:val="17"/>
              </w:rPr>
            </w:r>
            <w:r>
              <w:rPr>
                <w:sz w:val="17"/>
              </w:rPr>
              <w:t>Key rate 14.0%</w:t>
            </w:r>
          </w:p>
        </w:tc>
        <w:tc>
          <w:tcPr>
            <w:tcW w:type="dxa" w:w="4320"/>
          </w:tcPr>
          <w:p>
            <w:r>
              <w:rPr>
                <w:sz w:val="17"/>
              </w:rPr>
            </w:r>
            <w:r>
              <w:rPr>
                <w:sz w:val="17"/>
              </w:rPr>
              <w:t>decision of the Board of Directors of the Bank of Russia</w:t>
            </w:r>
          </w:p>
        </w:tc>
      </w:tr>
      <w:tr>
        <w:tc>
          <w:tcPr>
            <w:tcW w:type="dxa" w:w="4320"/>
          </w:tcPr>
          <w:p>
            <w:r>
              <w:rPr>
                <w:sz w:val="17"/>
              </w:rPr>
            </w:r>
            <w:r>
              <w:rPr>
                <w:sz w:val="17"/>
              </w:rPr>
              <w:t>Rate of RUB 71.55/USD</w:t>
            </w:r>
          </w:p>
        </w:tc>
        <w:tc>
          <w:tcPr>
            <w:tcW w:type="dxa" w:w="4320"/>
          </w:tcPr>
          <w:p>
            <w:r>
              <w:rPr>
                <w:sz w:val="17"/>
              </w:rPr>
            </w:r>
            <w:r>
              <w:rPr>
                <w:sz w:val="17"/>
              </w:rPr>
              <w:t>official rate of the Bank of Russia as at 26.05.2026</w:t>
            </w:r>
          </w:p>
        </w:tc>
      </w:tr>
      <w:tr>
        <w:tc>
          <w:tcPr>
            <w:tcW w:type="dxa" w:w="4320"/>
          </w:tcPr>
          <w:p>
            <w:r>
              <w:rPr>
                <w:sz w:val="17"/>
              </w:rPr>
            </w:r>
            <w:r>
              <w:rPr>
                <w:sz w:val="17"/>
              </w:rPr>
              <w:t>Equity risk premium, beta</w:t>
            </w:r>
          </w:p>
        </w:tc>
        <w:tc>
          <w:tcPr>
            <w:tcW w:type="dxa" w:w="4320"/>
          </w:tcPr>
          <w:p>
            <w:r>
              <w:rPr>
                <w:sz w:val="17"/>
              </w:rPr>
            </w:r>
            <w:r>
              <w:rPr>
                <w:sz w:val="17"/>
              </w:rPr>
              <w:t>Damodaran Online</w:t>
            </w:r>
          </w:p>
        </w:tc>
      </w:tr>
      <w:tr>
        <w:tc>
          <w:tcPr>
            <w:tcW w:type="dxa" w:w="4320"/>
          </w:tcPr>
          <w:p>
            <w:r>
              <w:rPr>
                <w:sz w:val="17"/>
              </w:rPr>
            </w:r>
            <w:r>
              <w:rPr>
                <w:sz w:val="17"/>
              </w:rPr>
              <w:t>Salary benchmarks</w:t>
            </w:r>
          </w:p>
        </w:tc>
        <w:tc>
          <w:tcPr>
            <w:tcW w:type="dxa" w:w="4320"/>
          </w:tcPr>
          <w:p>
            <w:r>
              <w:rPr>
                <w:sz w:val="17"/>
              </w:rPr>
            </w:r>
            <w:r>
              <w:rPr>
                <w:sz w:val="17"/>
              </w:rPr>
              <w:t>open labour-market surveys 2024–2026</w:t>
            </w:r>
          </w:p>
        </w:tc>
      </w:tr>
      <w:tr>
        <w:tc>
          <w:tcPr>
            <w:tcW w:type="dxa" w:w="4320"/>
          </w:tcPr>
          <w:p>
            <w:r>
              <w:rPr>
                <w:sz w:val="17"/>
              </w:rPr>
            </w:r>
            <w:r>
              <w:rPr>
                <w:sz w:val="17"/>
              </w:rPr>
              <w:t>Capital expenditure benchmarks</w:t>
            </w:r>
          </w:p>
        </w:tc>
        <w:tc>
          <w:tcPr>
            <w:tcW w:type="dxa" w:w="4320"/>
          </w:tcPr>
          <w:p>
            <w:r>
              <w:rPr>
                <w:sz w:val="17"/>
              </w:rPr>
            </w:r>
            <w:r>
              <w:rPr>
                <w:sz w:val="17"/>
              </w:rPr>
              <w:t>open presentations of Russian financial platforms</w:t>
            </w:r>
          </w:p>
        </w:tc>
      </w:tr>
    </w:tbl>
    <w:p/>
    <w:p>
      <w:pPr>
        <w:jc w:val="both"/>
      </w:pPr>
      <w:r>
        <w:t>The 10-year OFZ yield and the exchange rate are fixed as at May 2026 and require updating at the date of negotiations.</w:t>
      </w:r>
    </w:p>
    <w:p>
      <w:pPr>
        <w:jc w:val="both"/>
      </w:pPr>
      <w:r>
        <w:rPr>
          <w:b/>
        </w:rPr>
        <w:t>Edition v5 · 07.09.2026.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