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Plan — Digital Platform "Russian Service for Social Development Financing" (CPFSR)</w:t>
      </w:r>
    </w:p>
    <w:p>
      <w:pPr>
        <w:ind w:left="360"/>
      </w:pPr>
      <w:r>
        <w:rPr>
          <w:b/>
          <w:i/>
          <w:color w:val="444444"/>
        </w:rPr>
        <w:t>Note.</w:t>
      </w:r>
      <w:r>
        <w:rPr>
          <w:i/>
          <w:color w:val="444444"/>
        </w:rPr>
        <w:t xml:space="preserve"> This translation follows the Russian original. The financial part of the original was recalculated on 07.09.2026 (model v5); the figures of this translation have been brought into line with that calculation. In case of any discrepancy in wording, the Russian version prevails.</w:t>
      </w:r>
    </w:p>
    <w:p>
      <w:pPr>
        <w:jc w:val="both"/>
      </w:pPr>
      <w:r>
        <w:rPr>
          <w:b/>
        </w:rPr>
        <w:t>Operator:</w:t>
      </w:r>
      <w:r>
        <w:t xml:space="preserve"> Digital Platform CPFSR — a front-end / agent platform for the issuance of DFA backed by pledged assets. Stage 1 (pilot-light 2028–2029): placements through a technology partnership with an incumbent 779-P operator, funding from the VEB.RF Project Finance Factory (Government Decree No. 158) and the Federal Treasury. Stage 2 (2029+ horizon): expansion of the mandate to the model of targeted secured emission by the Bank of Russia — after a positive Stage 1 track record of ≥ 12 months and adoption of the package of four federal-law amendments. </w:t>
      </w:r>
      <w:r>
        <w:rPr>
          <w:b/>
        </w:rPr>
        <w:t>Author of the concept and rightsholder of the know-how:</w:t>
      </w:r>
      <w:r>
        <w:t xml:space="preserve"> Abdul-Khakim Akhmadovich Kagirov. </w:t>
      </w:r>
      <w:r>
        <w:rPr>
          <w:b/>
        </w:rPr>
        <w:t>Deposit certificate:</w:t>
      </w:r>
      <w:r>
        <w:t xml:space="preserve"> No. 4011265 of 19.12.2024 (ireg.pro, GOST R 34.11-2012). </w:t>
      </w:r>
      <w:r>
        <w:rPr>
          <w:b/>
        </w:rPr>
        <w:t>Document date:</w:t>
      </w:r>
      <w:r>
        <w:t xml:space="preserve"> 23.05.2026.</w:t>
      </w:r>
    </w:p>
    <w:p>
      <w:pPr>
        <w:pStyle w:val="Heading2"/>
      </w:pPr>
      <w:r>
        <w:t>1. Project Executive Summary</w:t>
      </w:r>
    </w:p>
    <w:p>
      <w:pPr>
        <w:jc w:val="both"/>
      </w:pPr>
      <w:r>
        <w:rPr>
          <w:b/>
        </w:rPr>
        <w:t>What.</w:t>
      </w:r>
      <w:r>
        <w:t xml:space="preserve"> CPFSR is a full-cycle front-end / agent platform for the issuance and servicing of digital financial assets (DFA) denominated against the pledge of real estate and other assets. </w:t>
      </w:r>
      <w:r>
        <w:rPr>
          <w:b/>
        </w:rPr>
        <w:t>Stage 1 (2028–2029):</w:t>
      </w:r>
      <w:r>
        <w:t xml:space="preserve"> placements run through a technology partnership with an incumbent operator of the IS DFA under 779-P (an incumbent 779-P register entity — the licence is non-transferable); the settlement channel and the funding — the VEB.RF Project Finance Factory (Government Decree No. 158 of 15.02.2018) and the Federal Treasury within the Budget Code. The Bank of Russia — the supervisory regulator under Article 4 of Federal Law 86-FZ; no additional issuance is envisaged in Stage 1. </w:t>
      </w:r>
      <w:r>
        <w:rPr>
          <w:b/>
        </w:rPr>
        <w:t>Stage 2 (2029+ horizon):</w:t>
      </w:r>
      <w:r>
        <w:t xml:space="preserve"> a defensible path to the targeted secured-emission model of the Bank of Russia — implemented after a positive Stage 1 track record of ≥ 12 months and adoption of the package of four federal-law amendments.</w:t>
      </w:r>
    </w:p>
    <w:p>
      <w:pPr>
        <w:jc w:val="both"/>
      </w:pPr>
      <w:r>
        <w:rPr>
          <w:b/>
        </w:rPr>
        <w:t>Why.</w:t>
      </w:r>
      <w:r>
        <w:t xml:space="preserve"> Unlocking the "dormant" collateral base of the Russian Federation (conservatively RUB 25 tn) for targeted financing of national and infrastructure projects — without increasing the budget burden and with preservation of owners' property rights. In Stage 1 the effect is achieved through infrastructure funding; in Stage 2 it is expanded through targeted secured emission.</w:t>
      </w:r>
    </w:p>
    <w:p>
      <w:pPr>
        <w:jc w:val="both"/>
      </w:pPr>
      <w:r>
        <w:rPr>
          <w:b/>
        </w:rPr>
        <w:t>For whom.</w:t>
      </w:r>
    </w:p>
    <w:p>
      <w:pPr>
        <w:pStyle w:val="ListBullet"/>
      </w:pPr>
      <w:r>
        <w:t>The state — an off-budget source of targeted funding for national projects.</w:t>
      </w:r>
    </w:p>
    <w:p>
      <w:pPr>
        <w:pStyle w:val="ListBullet"/>
      </w:pPr>
      <w:r>
        <w:t>Property owners (individuals and legal entities) — additional income while preserving the asset in their ownership.</w:t>
      </w:r>
    </w:p>
    <w:p>
      <w:pPr>
        <w:pStyle w:val="ListBullet"/>
      </w:pPr>
      <w:r>
        <w:t>Investors — a new class of reliable, secured and regulated instruments.</w:t>
      </w:r>
    </w:p>
    <w:p>
      <w:pPr>
        <w:pStyle w:val="ListBullet"/>
      </w:pPr>
      <w:r>
        <w:t>The financial sector (banks, insurers, appraisers) — new servicing revenues.</w:t>
      </w:r>
    </w:p>
    <w:p>
      <w:pPr>
        <w:jc w:val="both"/>
      </w:pPr>
      <w:r>
        <w:rPr>
          <w:b/>
        </w:rPr>
        <w:t>How much.</w:t>
      </w:r>
    </w:p>
    <w:p>
      <w:pPr>
        <w:pStyle w:val="ListBullet"/>
      </w:pPr>
      <w:r>
        <w:t>Capital expenditure over the first 18 months — RUB 720M.</w:t>
      </w:r>
    </w:p>
    <w:p>
      <w:pPr>
        <w:pStyle w:val="ListBullet"/>
      </w:pPr>
      <w:r>
        <w:t>Capital expenditure over 10 years — RUB 13,570M.</w:t>
      </w:r>
    </w:p>
    <w:p>
      <w:pPr>
        <w:pStyle w:val="ListBullet"/>
      </w:pPr>
      <w:r>
        <w:t>Peak financing need — RUB 1,701M (end of 2028).</w:t>
      </w:r>
    </w:p>
    <w:p>
      <w:pPr>
        <w:jc w:val="both"/>
      </w:pPr>
      <w:r>
        <w:rPr>
          <w:b/>
        </w:rPr>
        <w:t>When.</w:t>
      </w:r>
    </w:p>
    <w:p>
      <w:pPr>
        <w:pStyle w:val="ListBullet"/>
      </w:pPr>
      <w:r>
        <w:t>Start — 2027 (preparation, licences, development).</w:t>
      </w:r>
    </w:p>
    <w:p>
      <w:pPr>
        <w:pStyle w:val="ListBullet"/>
      </w:pPr>
      <w:r>
        <w:t>First issues — 2028 (18 months from start).</w:t>
      </w:r>
    </w:p>
    <w:p>
      <w:pPr>
        <w:pStyle w:val="ListBullet"/>
      </w:pPr>
      <w:r>
        <w:t>Pilot — 2028–2029.</w:t>
      </w:r>
    </w:p>
    <w:p>
      <w:pPr>
        <w:pStyle w:val="ListBullet"/>
      </w:pPr>
      <w:r>
        <w:t>Scaling — 2030–2032.</w:t>
      </w:r>
    </w:p>
    <w:p>
      <w:pPr>
        <w:pStyle w:val="ListBullet"/>
      </w:pPr>
      <w:r>
        <w:t>Mature stage — from 2033.</w:t>
      </w:r>
    </w:p>
    <w:p>
      <w:pPr>
        <w:jc w:val="both"/>
      </w:pPr>
      <w:r>
        <w:t>The horizon has been shifted relative to the previous edition: at the date of this document there is no information-system operator licence, no adopted regulatory framework and no issues, so the count starts from 2027.</w:t>
      </w:r>
    </w:p>
    <w:p>
      <w:pPr>
        <w:jc w:val="both"/>
      </w:pPr>
      <w:r>
        <w:rPr>
          <w:b/>
        </w:rPr>
        <w:t>How we earn.</w:t>
      </w:r>
    </w:p>
    <w:p>
      <w:pPr>
        <w:pStyle w:val="ListBullet"/>
      </w:pPr>
      <w:r>
        <w:t>DFA issuance commission — 0.5% of nominal.</w:t>
      </w:r>
    </w:p>
    <w:p>
      <w:pPr>
        <w:pStyle w:val="ListBullet"/>
      </w:pPr>
      <w:r>
        <w:t>Servicing commission — 0.3% of the outstanding stack.</w:t>
      </w:r>
    </w:p>
    <w:p>
      <w:pPr>
        <w:pStyle w:val="ListBullet"/>
      </w:pPr>
      <w:r>
        <w:t>Platform fee (valuation/insurance) — 0.15% of nominal.</w:t>
      </w:r>
    </w:p>
    <w:p>
      <w:pPr>
        <w:pStyle w:val="ListBullet"/>
      </w:pPr>
      <w:r>
        <w:t>B2B2G licences to partners — up to 0.15% of issuance volume.</w:t>
      </w:r>
    </w:p>
    <w:p>
      <w:pPr>
        <w:pStyle w:val="ListBullet"/>
      </w:pPr>
      <w:r>
        <w:t>Technology integrations — fixed.</w:t>
      </w:r>
    </w:p>
    <w:p>
      <w:pPr>
        <w:jc w:val="both"/>
      </w:pPr>
      <w:r>
        <w:rPr>
          <w:b/>
        </w:rPr>
        <w:t>What we ask.</w:t>
      </w:r>
      <w:r>
        <w:t xml:space="preserve"> Starter funding of RUB 1.8 bn over 24 months — capital expenditure, the operating deficit of the first two years, working capital and a reserve. The calculated peak requirement is RUB 1,701M, leaving a cushion of RUB 99M. The cushion is thin: a one-year delay in launch raises the requirement to RUB 3,438M.</w:t>
      </w:r>
    </w:p>
    <w:p>
      <w:pPr>
        <w:jc w:val="both"/>
      </w:pPr>
      <w:r>
        <w:rPr>
          <w:b/>
        </w:rPr>
        <w:t>Key financial indicators (base scenario, discount rate 29.58%):</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Indicator</w:t>
            </w:r>
          </w:p>
        </w:tc>
        <w:tc>
          <w:tcPr>
            <w:tcW w:type="dxa" w:w="4320"/>
          </w:tcPr>
          <w:p>
            <w:r>
              <w:rPr>
                <w:b/>
                <w:sz w:val="17"/>
              </w:rPr>
            </w:r>
            <w:r>
              <w:rPr>
                <w:b/>
                <w:sz w:val="17"/>
              </w:rPr>
              <w:t>Value</w:t>
            </w:r>
          </w:p>
        </w:tc>
      </w:tr>
      <w:tr>
        <w:tc>
          <w:tcPr>
            <w:tcW w:type="dxa" w:w="4320"/>
          </w:tcPr>
          <w:p>
            <w:r>
              <w:rPr>
                <w:sz w:val="17"/>
              </w:rPr>
            </w:r>
            <w:r>
              <w:rPr>
                <w:sz w:val="17"/>
              </w:rPr>
              <w:t>Enterprise value (DCF with terminal value, g = 4%)</w:t>
            </w:r>
          </w:p>
        </w:tc>
        <w:tc>
          <w:tcPr>
            <w:tcW w:type="dxa" w:w="4320"/>
          </w:tcPr>
          <w:p>
            <w:r>
              <w:rPr>
                <w:sz w:val="17"/>
              </w:rPr>
            </w:r>
            <w:r>
              <w:rPr>
                <w:sz w:val="17"/>
              </w:rPr>
              <w:t>RUB 63.0 bn</w:t>
            </w:r>
          </w:p>
        </w:tc>
      </w:tr>
      <w:tr>
        <w:tc>
          <w:tcPr>
            <w:tcW w:type="dxa" w:w="4320"/>
          </w:tcPr>
          <w:p>
            <w:r>
              <w:rPr>
                <w:sz w:val="17"/>
              </w:rPr>
            </w:r>
            <w:r>
              <w:rPr>
                <w:sz w:val="17"/>
              </w:rPr>
              <w:t>Simple payback</w:t>
            </w:r>
          </w:p>
        </w:tc>
        <w:tc>
          <w:tcPr>
            <w:tcW w:type="dxa" w:w="4320"/>
          </w:tcPr>
          <w:p>
            <w:r>
              <w:rPr>
                <w:sz w:val="17"/>
              </w:rPr>
            </w:r>
            <w:r>
              <w:rPr>
                <w:sz w:val="17"/>
              </w:rPr>
              <w:t>2.73 years</w:t>
            </w:r>
          </w:p>
        </w:tc>
      </w:tr>
      <w:tr>
        <w:tc>
          <w:tcPr>
            <w:tcW w:type="dxa" w:w="4320"/>
          </w:tcPr>
          <w:p>
            <w:r>
              <w:rPr>
                <w:sz w:val="17"/>
              </w:rPr>
            </w:r>
            <w:r>
              <w:rPr>
                <w:sz w:val="17"/>
              </w:rPr>
              <w:t>Discounted payback</w:t>
            </w:r>
          </w:p>
        </w:tc>
        <w:tc>
          <w:tcPr>
            <w:tcW w:type="dxa" w:w="4320"/>
          </w:tcPr>
          <w:p>
            <w:r>
              <w:rPr>
                <w:sz w:val="17"/>
              </w:rPr>
            </w:r>
            <w:r>
              <w:rPr>
                <w:sz w:val="17"/>
              </w:rPr>
              <w:t>3.05 years</w:t>
            </w:r>
          </w:p>
        </w:tc>
      </w:tr>
      <w:tr>
        <w:tc>
          <w:tcPr>
            <w:tcW w:type="dxa" w:w="4320"/>
          </w:tcPr>
          <w:p>
            <w:r>
              <w:rPr>
                <w:sz w:val="17"/>
              </w:rPr>
            </w:r>
            <w:r>
              <w:rPr>
                <w:sz w:val="17"/>
              </w:rPr>
              <w:t>Starter round (request)</w:t>
            </w:r>
          </w:p>
        </w:tc>
        <w:tc>
          <w:tcPr>
            <w:tcW w:type="dxa" w:w="4320"/>
          </w:tcPr>
          <w:p>
            <w:r>
              <w:rPr>
                <w:sz w:val="17"/>
              </w:rPr>
            </w:r>
            <w:r>
              <w:rPr>
                <w:sz w:val="17"/>
              </w:rPr>
              <w:t>RUB 1.8 bn</w:t>
            </w:r>
          </w:p>
        </w:tc>
      </w:tr>
      <w:tr>
        <w:tc>
          <w:tcPr>
            <w:tcW w:type="dxa" w:w="4320"/>
          </w:tcPr>
          <w:p>
            <w:r>
              <w:rPr>
                <w:sz w:val="17"/>
              </w:rPr>
            </w:r>
            <w:r>
              <w:rPr>
                <w:sz w:val="17"/>
              </w:rPr>
              <w:t>Peak financing need</w:t>
            </w:r>
          </w:p>
        </w:tc>
        <w:tc>
          <w:tcPr>
            <w:tcW w:type="dxa" w:w="4320"/>
          </w:tcPr>
          <w:p>
            <w:r>
              <w:rPr>
                <w:sz w:val="17"/>
              </w:rPr>
            </w:r>
            <w:r>
              <w:rPr>
                <w:sz w:val="17"/>
              </w:rPr>
              <w:t>RUB 1.70 bn</w:t>
            </w:r>
          </w:p>
        </w:tc>
      </w:tr>
      <w:tr>
        <w:tc>
          <w:tcPr>
            <w:tcW w:type="dxa" w:w="4320"/>
          </w:tcPr>
          <w:p>
            <w:r>
              <w:rPr>
                <w:sz w:val="17"/>
              </w:rPr>
            </w:r>
            <w:r>
              <w:rPr>
                <w:sz w:val="17"/>
              </w:rPr>
              <w:t>Year-5 revenue (2031)</w:t>
            </w:r>
          </w:p>
        </w:tc>
        <w:tc>
          <w:tcPr>
            <w:tcW w:type="dxa" w:w="4320"/>
          </w:tcPr>
          <w:p>
            <w:r>
              <w:rPr>
                <w:sz w:val="17"/>
              </w:rPr>
            </w:r>
            <w:r>
              <w:rPr>
                <w:sz w:val="17"/>
              </w:rPr>
              <w:t>RUB 39.0 bn</w:t>
            </w:r>
          </w:p>
        </w:tc>
      </w:tr>
      <w:tr>
        <w:tc>
          <w:tcPr>
            <w:tcW w:type="dxa" w:w="4320"/>
          </w:tcPr>
          <w:p>
            <w:r>
              <w:rPr>
                <w:sz w:val="17"/>
              </w:rPr>
            </w:r>
            <w:r>
              <w:rPr>
                <w:sz w:val="17"/>
              </w:rPr>
              <w:t>Year-10 revenue (2036)</w:t>
            </w:r>
          </w:p>
        </w:tc>
        <w:tc>
          <w:tcPr>
            <w:tcW w:type="dxa" w:w="4320"/>
          </w:tcPr>
          <w:p>
            <w:r>
              <w:rPr>
                <w:sz w:val="17"/>
              </w:rPr>
            </w:r>
            <w:r>
              <w:rPr>
                <w:sz w:val="17"/>
              </w:rPr>
              <w:t>RUB 142.6 bn</w:t>
            </w:r>
          </w:p>
        </w:tc>
      </w:tr>
      <w:tr>
        <w:tc>
          <w:tcPr>
            <w:tcW w:type="dxa" w:w="4320"/>
          </w:tcPr>
          <w:p>
            <w:r>
              <w:rPr>
                <w:sz w:val="17"/>
              </w:rPr>
            </w:r>
            <w:r>
              <w:rPr>
                <w:sz w:val="17"/>
              </w:rPr>
              <w:t>Year-10 EBITDA</w:t>
            </w:r>
          </w:p>
        </w:tc>
        <w:tc>
          <w:tcPr>
            <w:tcW w:type="dxa" w:w="4320"/>
          </w:tcPr>
          <w:p>
            <w:r>
              <w:rPr>
                <w:sz w:val="17"/>
              </w:rPr>
            </w:r>
            <w:r>
              <w:rPr>
                <w:sz w:val="17"/>
              </w:rPr>
              <w:t>RUB 107.1 bn</w:t>
            </w:r>
          </w:p>
        </w:tc>
      </w:tr>
      <w:tr>
        <w:tc>
          <w:tcPr>
            <w:tcW w:type="dxa" w:w="4320"/>
          </w:tcPr>
          <w:p>
            <w:r>
              <w:rPr>
                <w:sz w:val="17"/>
              </w:rPr>
            </w:r>
            <w:r>
              <w:rPr>
                <w:sz w:val="17"/>
              </w:rPr>
              <w:t>Year-10 EBITDA margin</w:t>
            </w:r>
          </w:p>
        </w:tc>
        <w:tc>
          <w:tcPr>
            <w:tcW w:type="dxa" w:w="4320"/>
          </w:tcPr>
          <w:p>
            <w:r>
              <w:rPr>
                <w:sz w:val="17"/>
              </w:rPr>
            </w:r>
            <w:r>
              <w:rPr>
                <w:sz w:val="17"/>
              </w:rPr>
              <w:t>75.1%</w:t>
            </w:r>
          </w:p>
        </w:tc>
      </w:tr>
    </w:tbl>
    <w:p/>
    <w:p>
      <w:pPr>
        <w:jc w:val="both"/>
      </w:pPr>
      <w:r>
        <w:t>Conservative scenario (operating solely under the current Federal Law 259-FZ, market share 7%): enterprise value RUB 20.1 bn. The project internal rate of return is deliberately moved to § 9.2 with a caveat: on project cash flows it exceeds 100%, which reflects not an advantage of the project but the incompleteness of the model with regard to the cost of entering the market.</w:t>
      </w:r>
    </w:p>
    <w:p>
      <w:pPr>
        <w:pStyle w:val="Heading2"/>
      </w:pPr>
      <w:r>
        <w:t>2. Description of the operator company</w:t>
      </w:r>
    </w:p>
    <w:p>
      <w:pPr>
        <w:pStyle w:val="Heading3"/>
      </w:pPr>
      <w:r>
        <w:t>2.1. Legal form</w:t>
      </w:r>
    </w:p>
    <w:p>
      <w:pPr>
        <w:jc w:val="both"/>
      </w:pPr>
      <w:r>
        <w:t xml:space="preserve">The recommended form is a </w:t>
      </w:r>
      <w:r>
        <w:rPr>
          <w:b/>
        </w:rPr>
        <w:t>joint-stock company (JSC)</w:t>
      </w:r>
      <w:r>
        <w:t>:</w:t>
      </w:r>
    </w:p>
    <w:p>
      <w:pPr>
        <w:pStyle w:val="ListBullet"/>
      </w:pPr>
      <w:r>
        <w:t>It meets the CBR requirements for DFA operators (259-FZ, Article 10): minimum equity, corporate governance, requirements for the composition of shareholders.</w:t>
      </w:r>
    </w:p>
    <w:p>
      <w:pPr>
        <w:pStyle w:val="ListBullet"/>
      </w:pPr>
      <w:r>
        <w:t>It allows strategic investors to be attracted through share issuance.</w:t>
      </w:r>
    </w:p>
    <w:p>
      <w:pPr>
        <w:pStyle w:val="ListBullet"/>
      </w:pPr>
      <w:r>
        <w:t>It is compatible with the strategic state-asset regime (if such a model is approved).</w:t>
      </w:r>
    </w:p>
    <w:p>
      <w:pPr>
        <w:pStyle w:val="Heading3"/>
      </w:pPr>
      <w:r>
        <w:t>2.2. Founders and the ownership perimeter</w:t>
      </w:r>
    </w:p>
    <w:p>
      <w:pPr>
        <w:jc w:val="both"/>
      </w:pPr>
      <w:r>
        <w:t>The founding package shall reflect:</w:t>
      </w:r>
    </w:p>
    <w:p>
      <w:pPr>
        <w:pStyle w:val="ListNumber"/>
      </w:pPr>
      <w:r>
        <w:rPr>
          <w:b/>
        </w:rPr>
        <w:t>The know-how rightsholder</w:t>
      </w:r>
      <w:r>
        <w:t xml:space="preserve"> — Abdul-Khakim Akhmadovich Kagirov (Certificate No. 4011265 of 19.12.2024). The founder's stake is secured by transferring a licence or by contributing the exclusive right to the charter capital based on an independent appraiser's valuation.</w:t>
      </w:r>
    </w:p>
    <w:p>
      <w:pPr>
        <w:pStyle w:val="ListNumber"/>
      </w:pPr>
      <w:r>
        <w:rPr>
          <w:b/>
        </w:rPr>
        <w:t>Institutional shareholders</w:t>
      </w:r>
      <w:r>
        <w:t xml:space="preserve"> — engagement of specialised institutional investors is recommended (development banks, state financial corporations, the regulator) to ensure political support and regulatory comfort.</w:t>
      </w:r>
    </w:p>
    <w:p>
      <w:pPr>
        <w:pStyle w:val="ListNumber"/>
      </w:pPr>
      <w:r>
        <w:rPr>
          <w:b/>
        </w:rPr>
        <w:t>The role of the Bank of Russia (Stage 1).</w:t>
      </w:r>
      <w:r>
        <w:t xml:space="preserve"> In Stage 1 (pilot-light 2028–2029) the Bank of Russia is the general supervisory regulator of the financial market under Article 4 of Federal Law 86-FZ: it approves the rules of the IS operator under Article 6 of Federal Law 259-FZ, includes the operator in the register under Regulation No. 779-P, supervises compliance with information-protection requirements (683-P, 716-P) and GOST R 57580.1. No additional issuance by the Bank of Russia is envisaged in Stage 1; placement funding is provided through the VEB.RF Project Finance Factory (Government Decree No. 158) and the Federal Treasury within the Budget Code. Under Stage 2 (2029+ horizon), upon a positive Stage 1 track record of ≥ 12 months and adoption of the package of four federal-law amendments, mandate expansion to the targeted secured-emission model of the Bank of Russia may be considered.</w:t>
      </w:r>
    </w:p>
    <w:p>
      <w:pPr>
        <w:pStyle w:val="Heading3"/>
      </w:pPr>
      <w:r>
        <w:t>2.3. Jurisdiction</w:t>
      </w:r>
    </w:p>
    <w:p>
      <w:pPr>
        <w:jc w:val="both"/>
      </w:pPr>
      <w:r>
        <w:t>The Russian Federation. Registration in Moscow — aligned with the location of the key regulators (Bank of Russia, Ministry of Finance, Ministry of Economic Development, Ministry of Digital Development), the Federal Treasury, key banking counterparties.</w:t>
      </w:r>
    </w:p>
    <w:p>
      <w:pPr>
        <w:pStyle w:val="Heading3"/>
      </w:pPr>
      <w:r>
        <w:t>2.4. Tax status</w:t>
      </w:r>
    </w:p>
    <w:p>
      <w:pPr>
        <w:jc w:val="both"/>
      </w:pPr>
      <w:r>
        <w:t>Upon obtaining IT accreditation from the Ministry of Digital Development and maintaining ≥ 70% IT revenue, the profit-tax incentive applies (5% or 0% depending on the Tax Code edition at the time). The base scenario applies the standard 25% rate (in force from 01.01.2025 under Federal Law 176-FZ of 12.07.2024) — a conservative basis. Transactions in digital financial assets are not subject to VAT: such assets are classified as securities (sub-clause 12, clause 2, Art. 149 of the Tax Code). The incentive is a separate upside on the valuation.</w:t>
      </w:r>
    </w:p>
    <w:p>
      <w:pPr>
        <w:pStyle w:val="Heading3"/>
      </w:pPr>
      <w:r>
        <w:t>2.5. IP protection</w:t>
      </w:r>
    </w:p>
    <w:p>
      <w:pPr>
        <w:jc w:val="both"/>
      </w:pPr>
      <w:r>
        <w:t>The operator's know-how core is the author's concept protected by Deposit Certificate No. 4011265 of 19.12.2024. The deposit fixes the priority date (24.12.2024) and the hash of the work; the legal protection regime — know-how (Article 1465 CC) and software (Article 1262 CC, registration with Rospatent — in progress) from the date of contribution. When the operator company is created, the rightsholder transfers to the operator either exclusive or non-exclusive rights to use the know-how, with remuneration terms fixed (a licence agreement or a contribution to the charter capital).</w:t>
      </w:r>
    </w:p>
    <w:p>
      <w:pPr>
        <w:pStyle w:val="Heading2"/>
      </w:pPr>
      <w:r>
        <w:t>3. Description of the product / service</w:t>
      </w:r>
    </w:p>
    <w:p>
      <w:pPr>
        <w:pStyle w:val="Heading3"/>
      </w:pPr>
      <w:r>
        <w:t>3.1. What CPFSR is</w:t>
      </w:r>
    </w:p>
    <w:p>
      <w:pPr>
        <w:jc w:val="both"/>
      </w:pPr>
      <w:r>
        <w:t>CPFSR is a full-cycle digital platform that:</w:t>
      </w:r>
    </w:p>
    <w:p>
      <w:pPr>
        <w:pStyle w:val="ListNumber"/>
      </w:pPr>
      <w:r>
        <w:t>Accepts an application from the owner for a pledge of property (real estate, transport, intellectual property, securities, etc.).</w:t>
      </w:r>
    </w:p>
    <w:p>
      <w:pPr>
        <w:pStyle w:val="ListNumber"/>
      </w:pPr>
      <w:r>
        <w:t>Performs an automated appraisal of the collateral object with the involvement of accredited appraisers under Federal Law 135-FZ.</w:t>
      </w:r>
    </w:p>
    <w:p>
      <w:pPr>
        <w:pStyle w:val="ListNumber"/>
      </w:pPr>
      <w:r>
        <w:t>Records a temporary encumbrance on the object in the relevant state registers (Rosreestr, traffic police, depositories).</w:t>
      </w:r>
    </w:p>
    <w:p>
      <w:pPr>
        <w:pStyle w:val="ListNumber"/>
      </w:pPr>
      <w:r>
        <w:t>Coordinates the issuance parameters with the technology partner — the IS DFA operator under 779-P (the operator's rules under Article 6 of Federal Law 259-FZ).</w:t>
      </w:r>
    </w:p>
    <w:p>
      <w:pPr>
        <w:pStyle w:val="ListNumber"/>
      </w:pPr>
      <w:r>
        <w:t>The technology partner issues the DFA at a nominal value corresponding to the collateral appraisal (subject to the discount standard).</w:t>
      </w:r>
    </w:p>
    <w:p>
      <w:pPr>
        <w:pStyle w:val="ListNumber"/>
      </w:pPr>
      <w:r>
        <w:rPr>
          <w:b/>
        </w:rPr>
        <w:t>Stage 1.</w:t>
      </w:r>
      <w:r>
        <w:t xml:space="preserve"> Funding of the placement is provided through the VEB.RF Project Finance Factory (Government Decree No. 158 of 15.02.2018) and the Federal Treasury (Budget Code). Settlements — non-cash ruble or the digital ruble under 340-FZ as a settlement complement.</w:t>
      </w:r>
    </w:p>
    <w:p>
      <w:pPr>
        <w:pStyle w:val="ListNumber"/>
      </w:pPr>
      <w:r>
        <w:t>The funds are directed in a targeted manner to the financing of national and infrastructure projects in line with current federal laws and sub-legislative acts.</w:t>
      </w:r>
    </w:p>
    <w:p>
      <w:pPr>
        <w:pStyle w:val="ListNumber"/>
      </w:pPr>
      <w:r>
        <w:t>The DFA may be placed with professional securities-market participants; the proceeds from placement are credited to accounts under Articles 860.7–860.10 of the Civil Code.</w:t>
      </w:r>
    </w:p>
    <w:p>
      <w:pPr>
        <w:pStyle w:val="ListNumber"/>
      </w:pPr>
      <w:r>
        <w:t>Upon the completion of the project's term, an exchange takes place: the DFA is redeemed, the encumbrance is lifted from the property, the owner recovers the object and receives the agreed financial remuneration.</w:t>
      </w:r>
    </w:p>
    <w:p>
      <w:pPr>
        <w:ind w:left="360"/>
      </w:pPr>
      <w:r>
        <w:rPr>
          <w:b/>
          <w:i/>
          <w:color w:val="444444"/>
        </w:rPr>
        <w:t>Stage 2 (2029+ horizon).</w:t>
      </w:r>
      <w:r>
        <w:rPr>
          <w:i/>
          <w:color w:val="444444"/>
        </w:rPr>
        <w:t xml:space="preserve"> As part of the mandate expansion, steps 6–7 may be migrated to the targeted secured-emission model of the Bank of Russia against a pool of pledged DFA, with the escrow account managed by the CBR. Stage 2 is implemented after a positive Stage 1 track record of ≥ 12 months and adoption of the package of four federal-law amendments (see Legal Framework § 8.2).</w:t>
      </w:r>
    </w:p>
    <w:p>
      <w:pPr>
        <w:pStyle w:val="Heading3"/>
      </w:pPr>
      <w:r>
        <w:t>3.2. How the product differs from existing DFA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Parameter</w:t>
            </w:r>
          </w:p>
        </w:tc>
        <w:tc>
          <w:tcPr>
            <w:tcW w:type="dxa" w:w="2160"/>
          </w:tcPr>
          <w:p>
            <w:r>
              <w:rPr>
                <w:b/>
                <w:sz w:val="17"/>
              </w:rPr>
            </w:r>
            <w:r>
              <w:rPr>
                <w:b/>
                <w:sz w:val="17"/>
              </w:rPr>
              <w:t>Existing DFA in the RF</w:t>
            </w:r>
          </w:p>
        </w:tc>
        <w:tc>
          <w:tcPr>
            <w:tcW w:type="dxa" w:w="2160"/>
          </w:tcPr>
          <w:p>
            <w:r>
              <w:rPr>
                <w:b/>
                <w:sz w:val="17"/>
              </w:rPr>
            </w:r>
            <w:r>
              <w:rPr>
                <w:b/>
                <w:sz w:val="17"/>
              </w:rPr>
              <w:t>CPFSR Stage 1</w:t>
            </w:r>
          </w:p>
        </w:tc>
        <w:tc>
          <w:tcPr>
            <w:tcW w:type="dxa" w:w="2160"/>
          </w:tcPr>
          <w:p>
            <w:r>
              <w:rPr>
                <w:b/>
                <w:sz w:val="17"/>
              </w:rPr>
            </w:r>
            <w:r>
              <w:rPr>
                <w:b/>
                <w:sz w:val="17"/>
              </w:rPr>
              <w:t>CPFSR Stage 2 (horizon)</w:t>
            </w:r>
          </w:p>
        </w:tc>
      </w:tr>
      <w:tr>
        <w:tc>
          <w:tcPr>
            <w:tcW w:type="dxa" w:w="2160"/>
          </w:tcPr>
          <w:p>
            <w:r>
              <w:rPr>
                <w:sz w:val="17"/>
              </w:rPr>
            </w:r>
            <w:r>
              <w:rPr>
                <w:sz w:val="17"/>
              </w:rPr>
              <w:t>Collateral</w:t>
            </w:r>
          </w:p>
        </w:tc>
        <w:tc>
          <w:tcPr>
            <w:tcW w:type="dxa" w:w="2160"/>
          </w:tcPr>
          <w:p>
            <w:r>
              <w:rPr>
                <w:sz w:val="17"/>
              </w:rPr>
            </w:r>
            <w:r>
              <w:rPr>
                <w:sz w:val="17"/>
              </w:rPr>
              <w:t>Monetary claims, equities, obligations</w:t>
            </w:r>
          </w:p>
        </w:tc>
        <w:tc>
          <w:tcPr>
            <w:tcW w:type="dxa" w:w="2160"/>
          </w:tcPr>
          <w:p>
            <w:r>
              <w:rPr>
                <w:sz w:val="17"/>
              </w:rPr>
            </w:r>
            <w:r>
              <w:rPr>
                <w:sz w:val="17"/>
              </w:rPr>
              <w:t>Tangible and intangible property (pledged)</w:t>
            </w:r>
          </w:p>
        </w:tc>
        <w:tc>
          <w:tcPr>
            <w:tcW w:type="dxa" w:w="2160"/>
          </w:tcPr>
          <w:p>
            <w:r>
              <w:rPr>
                <w:sz w:val="17"/>
              </w:rPr>
            </w:r>
            <w:r>
              <w:rPr>
                <w:sz w:val="17"/>
              </w:rPr>
              <w:t>Tangible and intangible property (pledged)</w:t>
            </w:r>
          </w:p>
        </w:tc>
      </w:tr>
      <w:tr>
        <w:tc>
          <w:tcPr>
            <w:tcW w:type="dxa" w:w="2160"/>
          </w:tcPr>
          <w:p>
            <w:r>
              <w:rPr>
                <w:sz w:val="17"/>
              </w:rPr>
            </w:r>
            <w:r>
              <w:rPr>
                <w:sz w:val="17"/>
              </w:rPr>
              <w:t>Source of funds</w:t>
            </w:r>
          </w:p>
        </w:tc>
        <w:tc>
          <w:tcPr>
            <w:tcW w:type="dxa" w:w="2160"/>
          </w:tcPr>
          <w:p>
            <w:r>
              <w:rPr>
                <w:sz w:val="17"/>
              </w:rPr>
            </w:r>
            <w:r>
              <w:rPr>
                <w:sz w:val="17"/>
              </w:rPr>
              <w:t>The DFA buyer pays in rubles</w:t>
            </w:r>
          </w:p>
        </w:tc>
        <w:tc>
          <w:tcPr>
            <w:tcW w:type="dxa" w:w="2160"/>
          </w:tcPr>
          <w:p>
            <w:r>
              <w:rPr>
                <w:sz w:val="17"/>
              </w:rPr>
            </w:r>
            <w:r>
              <w:rPr>
                <w:sz w:val="17"/>
              </w:rPr>
              <w:t>VEB.RF Factory + Federal Treasury</w:t>
            </w:r>
          </w:p>
        </w:tc>
        <w:tc>
          <w:tcPr>
            <w:tcW w:type="dxa" w:w="2160"/>
          </w:tcPr>
          <w:p>
            <w:r>
              <w:rPr>
                <w:sz w:val="17"/>
              </w:rPr>
            </w:r>
            <w:r>
              <w:rPr>
                <w:sz w:val="17"/>
              </w:rPr>
              <w:t>Targeted secured emission by the Bank of Russia</w:t>
            </w:r>
          </w:p>
        </w:tc>
      </w:tr>
      <w:tr>
        <w:tc>
          <w:tcPr>
            <w:tcW w:type="dxa" w:w="2160"/>
          </w:tcPr>
          <w:p>
            <w:r>
              <w:rPr>
                <w:sz w:val="17"/>
              </w:rPr>
            </w:r>
            <w:r>
              <w:rPr>
                <w:sz w:val="17"/>
              </w:rPr>
              <w:t>Use of proceeds</w:t>
            </w:r>
          </w:p>
        </w:tc>
        <w:tc>
          <w:tcPr>
            <w:tcW w:type="dxa" w:w="2160"/>
          </w:tcPr>
          <w:p>
            <w:r>
              <w:rPr>
                <w:sz w:val="17"/>
              </w:rPr>
            </w:r>
            <w:r>
              <w:rPr>
                <w:sz w:val="17"/>
              </w:rPr>
              <w:t>Unrestricted</w:t>
            </w:r>
          </w:p>
        </w:tc>
        <w:tc>
          <w:tcPr>
            <w:tcW w:type="dxa" w:w="2160"/>
          </w:tcPr>
          <w:p>
            <w:r>
              <w:rPr>
                <w:sz w:val="17"/>
              </w:rPr>
            </w:r>
            <w:r>
              <w:rPr>
                <w:sz w:val="17"/>
              </w:rPr>
              <w:t>Targeted (national projects, infrastructure)</w:t>
            </w:r>
          </w:p>
        </w:tc>
        <w:tc>
          <w:tcPr>
            <w:tcW w:type="dxa" w:w="2160"/>
          </w:tcPr>
          <w:p>
            <w:r>
              <w:rPr>
                <w:sz w:val="17"/>
              </w:rPr>
            </w:r>
            <w:r>
              <w:rPr>
                <w:sz w:val="17"/>
              </w:rPr>
              <w:t>Targeted (national projects, infrastructure)</w:t>
            </w:r>
          </w:p>
        </w:tc>
      </w:tr>
      <w:tr>
        <w:tc>
          <w:tcPr>
            <w:tcW w:type="dxa" w:w="2160"/>
          </w:tcPr>
          <w:p>
            <w:r>
              <w:rPr>
                <w:sz w:val="17"/>
              </w:rPr>
            </w:r>
            <w:r>
              <w:rPr>
                <w:sz w:val="17"/>
              </w:rPr>
              <w:t>Perimeter</w:t>
            </w:r>
          </w:p>
        </w:tc>
        <w:tc>
          <w:tcPr>
            <w:tcW w:type="dxa" w:w="2160"/>
          </w:tcPr>
          <w:p>
            <w:r>
              <w:rPr>
                <w:sz w:val="17"/>
              </w:rPr>
            </w:r>
            <w:r>
              <w:rPr>
                <w:sz w:val="17"/>
              </w:rPr>
              <w:t>Private operator, CBR as regulator</w:t>
            </w:r>
          </w:p>
        </w:tc>
        <w:tc>
          <w:tcPr>
            <w:tcW w:type="dxa" w:w="2160"/>
          </w:tcPr>
          <w:p>
            <w:r>
              <w:rPr>
                <w:sz w:val="17"/>
              </w:rPr>
            </w:r>
            <w:r>
              <w:rPr>
                <w:sz w:val="17"/>
              </w:rPr>
              <w:t>Technology partnership with a 779-P operator + CBR as supervisory regulator under Article 4 of 86-FZ</w:t>
            </w:r>
          </w:p>
        </w:tc>
        <w:tc>
          <w:tcPr>
            <w:tcW w:type="dxa" w:w="2160"/>
          </w:tcPr>
          <w:p>
            <w:r>
              <w:rPr>
                <w:sz w:val="17"/>
              </w:rPr>
            </w:r>
            <w:r>
              <w:rPr>
                <w:sz w:val="17"/>
              </w:rPr>
              <w:t>Technology partnership + CBR as issuer in the expanded mandate</w:t>
            </w:r>
          </w:p>
        </w:tc>
      </w:tr>
      <w:tr>
        <w:tc>
          <w:tcPr>
            <w:tcW w:type="dxa" w:w="2160"/>
          </w:tcPr>
          <w:p>
            <w:r>
              <w:rPr>
                <w:sz w:val="17"/>
              </w:rPr>
            </w:r>
            <w:r>
              <w:rPr>
                <w:sz w:val="17"/>
              </w:rPr>
              <w:t>Return of property</w:t>
            </w:r>
          </w:p>
        </w:tc>
        <w:tc>
          <w:tcPr>
            <w:tcW w:type="dxa" w:w="2160"/>
          </w:tcPr>
          <w:p>
            <w:r>
              <w:rPr>
                <w:sz w:val="17"/>
              </w:rPr>
            </w:r>
            <w:r>
              <w:rPr>
                <w:sz w:val="17"/>
              </w:rPr>
              <w:t>n/a</w:t>
            </w:r>
          </w:p>
        </w:tc>
        <w:tc>
          <w:tcPr>
            <w:tcW w:type="dxa" w:w="2160"/>
          </w:tcPr>
          <w:p>
            <w:r>
              <w:rPr>
                <w:sz w:val="17"/>
              </w:rPr>
            </w:r>
            <w:r>
              <w:rPr>
                <w:sz w:val="17"/>
              </w:rPr>
              <w:t>Exchange and return upon project completion</w:t>
            </w:r>
          </w:p>
        </w:tc>
        <w:tc>
          <w:tcPr>
            <w:tcW w:type="dxa" w:w="2160"/>
          </w:tcPr>
          <w:p>
            <w:r>
              <w:rPr>
                <w:sz w:val="17"/>
              </w:rPr>
            </w:r>
            <w:r>
              <w:rPr>
                <w:sz w:val="17"/>
              </w:rPr>
              <w:t>Exchange and return upon project completion</w:t>
            </w:r>
          </w:p>
        </w:tc>
      </w:tr>
    </w:tbl>
    <w:p/>
    <w:p>
      <w:pPr>
        <w:pStyle w:val="Heading3"/>
      </w:pPr>
      <w:r>
        <w:t>3.3. Advantages (per the author's concept)</w:t>
      </w:r>
    </w:p>
    <w:p>
      <w:pPr>
        <w:pStyle w:val="ListNumber"/>
      </w:pPr>
      <w:r>
        <w:t>Direct online interaction between the pledgor, financial agents and executors under the supervision of the CBR.</w:t>
      </w:r>
    </w:p>
    <w:p>
      <w:pPr>
        <w:pStyle w:val="ListNumber"/>
      </w:pPr>
      <w:r>
        <w:t>Reduction in the time for appraisal and pledging of objects.</w:t>
      </w:r>
    </w:p>
    <w:p>
      <w:pPr>
        <w:pStyle w:val="ListNumber"/>
      </w:pPr>
      <w:r>
        <w:t>An impulse for the development of the DFA industry in Russia.</w:t>
      </w:r>
    </w:p>
    <w:p>
      <w:pPr>
        <w:pStyle w:val="ListNumber"/>
      </w:pPr>
      <w:r>
        <w:t>Mobilisation of "dormant" private assets into the economic turnover.</w:t>
      </w:r>
    </w:p>
    <w:p>
      <w:pPr>
        <w:pStyle w:val="ListNumber"/>
      </w:pPr>
      <w:r>
        <w:t>Resolution of large state projects without an increase in the debt burden.</w:t>
      </w:r>
    </w:p>
    <w:p>
      <w:pPr>
        <w:pStyle w:val="ListNumber"/>
      </w:pPr>
      <w:r>
        <w:t>Reduction of the queue for financing global projects.</w:t>
      </w:r>
    </w:p>
    <w:p>
      <w:pPr>
        <w:pStyle w:val="ListNumber"/>
      </w:pPr>
      <w:r>
        <w:t>Impetus to the real sector of the economy.</w:t>
      </w:r>
    </w:p>
    <w:p>
      <w:pPr>
        <w:pStyle w:val="ListNumber"/>
      </w:pPr>
      <w:r>
        <w:t>Off-budget financing of state projects in capital-intensive sectors (heavy industry, machine-building, medicine, science).</w:t>
      </w:r>
    </w:p>
    <w:p>
      <w:pPr>
        <w:pStyle w:val="ListNumber"/>
      </w:pPr>
      <w:r>
        <w:t>Financial remuneration for the owner of the pledged property.</w:t>
      </w:r>
    </w:p>
    <w:p>
      <w:pPr>
        <w:pStyle w:val="ListNumber"/>
      </w:pPr>
      <w:r>
        <w:t>Inflationary dynamics remain in the normal regime (issuance is against fully secured assets).</w:t>
      </w:r>
    </w:p>
    <w:p>
      <w:pPr>
        <w:pStyle w:val="Heading3"/>
      </w:pPr>
      <w:r>
        <w:t>3.4. Launch conditions</w:t>
      </w:r>
    </w:p>
    <w:p>
      <w:pPr>
        <w:jc w:val="both"/>
      </w:pPr>
      <w:r>
        <w:rPr>
          <w:b/>
        </w:rPr>
        <w:t>Stage 1 (pilot-light 2028–2029) — without federal-law amendments:</w:t>
      </w:r>
    </w:p>
    <w:p>
      <w:pPr>
        <w:pStyle w:val="ListNumber"/>
      </w:pPr>
      <w:r>
        <w:t>Incorporation of the operator JSC and inclusion of the technology partner in the IS DFA operators register under CBR Regulation No. 779-P (the critical path — CIP certification T+9…T+18 months).</w:t>
      </w:r>
    </w:p>
    <w:p>
      <w:pPr>
        <w:pStyle w:val="ListNumber"/>
      </w:pPr>
      <w:r>
        <w:t>Approval of the rules of the information system under Article 6 of Federal Law 259-FZ with the Bank of Russia.</w:t>
      </w:r>
    </w:p>
    <w:p>
      <w:pPr>
        <w:pStyle w:val="ListNumber"/>
      </w:pPr>
      <w:r>
        <w:t>A consultative letter from the VEB.RF Project Finance Factory on the applicability of Government Decree No. 158 to CPFSR projects.</w:t>
      </w:r>
    </w:p>
    <w:p>
      <w:pPr>
        <w:pStyle w:val="ListNumber"/>
      </w:pPr>
      <w:r>
        <w:t>MoU with the pilot region (Republic of Tatarstan / Tyumen Region) for an RUB 5–10 bn pilot portfolio.</w:t>
      </w:r>
    </w:p>
    <w:p>
      <w:pPr>
        <w:pStyle w:val="ListNumber"/>
      </w:pPr>
      <w:r>
        <w:t>MoU with a partner bank (a partner bank) on the role of the settlement and escrow agent.</w:t>
      </w:r>
    </w:p>
    <w:p>
      <w:pPr>
        <w:jc w:val="both"/>
      </w:pPr>
      <w:r>
        <w:rPr>
          <w:b/>
        </w:rPr>
        <w:t>Stage 2 (2029+ horizon, T+36+):</w:t>
      </w:r>
    </w:p>
    <w:p>
      <w:pPr>
        <w:pStyle w:val="ListNumber"/>
      </w:pPr>
      <w:r>
        <w:t>A positive Stage 1 track record of ≥ 12 months of industrial operation.</w:t>
      </w:r>
    </w:p>
    <w:p>
      <w:pPr>
        <w:pStyle w:val="ListNumber"/>
      </w:pPr>
      <w:r>
        <w:t>An inter-agency position of the Ministry of Economic Development / Ministry of Finance / VEB.RF / State Duma.</w:t>
      </w:r>
    </w:p>
    <w:p>
      <w:pPr>
        <w:pStyle w:val="ListNumber"/>
      </w:pPr>
      <w:r>
        <w:t>The package of four federal-law amendments (86-FZ, 259-FZ, Budget Code, Civil Code) + sub-legislative acts.</w:t>
      </w:r>
    </w:p>
    <w:p>
      <w:pPr>
        <w:pStyle w:val="Heading2"/>
      </w:pPr>
      <w:r>
        <w:t>4. Market analysis</w:t>
      </w:r>
    </w:p>
    <w:p>
      <w:pPr>
        <w:pStyle w:val="Heading3"/>
      </w:pPr>
      <w:r>
        <w:t>4.1. DFA market in the RF</w:t>
      </w:r>
    </w:p>
    <w:p>
      <w:pPr>
        <w:jc w:val="both"/>
      </w:pPr>
      <w:r>
        <w:t>Since 2022 Federal Law 259-FZ "On Digital Financial Assets" has been in force in the Russian Federation, establishing the legal framework for the issuance and circulation of DFA. Operators of information systems accredited by the Bank of Russia are operating on the market (the information is published in the CBR register).</w:t>
      </w:r>
    </w:p>
    <w:p>
      <w:pPr>
        <w:jc w:val="both"/>
      </w:pPr>
      <w:r>
        <w:t>Based on open data, the cumulative DFA issuance volume in the RF for 2023–2025 is measured in hundreds of billions of rubles and shows confident growth. The dominant classes are monetary claims, corporate DFA, DFA on metals. DFA backed by real-estate collateral with direct CBR issuance are absent from current market practice.</w:t>
      </w:r>
    </w:p>
    <w:p>
      <w:pPr>
        <w:pStyle w:val="Heading3"/>
      </w:pPr>
      <w:r>
        <w:t>4.2. RF collateral capacity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Segment</w:t>
            </w:r>
          </w:p>
        </w:tc>
        <w:tc>
          <w:tcPr>
            <w:tcW w:type="dxa" w:w="2880"/>
          </w:tcPr>
          <w:p>
            <w:r>
              <w:rPr>
                <w:b/>
                <w:sz w:val="17"/>
              </w:rPr>
            </w:r>
            <w:r>
              <w:rPr>
                <w:b/>
                <w:sz w:val="17"/>
              </w:rPr>
              <w:t>Volume, RUB tn</w:t>
            </w:r>
          </w:p>
        </w:tc>
        <w:tc>
          <w:tcPr>
            <w:tcW w:type="dxa" w:w="2880"/>
          </w:tcPr>
          <w:p>
            <w:r>
              <w:rPr>
                <w:b/>
                <w:sz w:val="17"/>
              </w:rPr>
            </w:r>
            <w:r>
              <w:rPr>
                <w:b/>
                <w:sz w:val="17"/>
              </w:rPr>
              <w:t>Source</w:t>
            </w:r>
          </w:p>
        </w:tc>
      </w:tr>
      <w:tr>
        <w:tc>
          <w:tcPr>
            <w:tcW w:type="dxa" w:w="2880"/>
          </w:tcPr>
          <w:p>
            <w:r>
              <w:rPr>
                <w:sz w:val="17"/>
              </w:rPr>
            </w:r>
            <w:r>
              <w:rPr>
                <w:sz w:val="17"/>
              </w:rPr>
              <w:t>Residential stock (4.7 bn m² × RUB 85,000/m²)</w:t>
            </w:r>
          </w:p>
        </w:tc>
        <w:tc>
          <w:tcPr>
            <w:tcW w:type="dxa" w:w="2880"/>
          </w:tcPr>
          <w:p>
            <w:r>
              <w:rPr>
                <w:sz w:val="17"/>
              </w:rPr>
            </w:r>
            <w:r>
              <w:rPr>
                <w:sz w:val="17"/>
              </w:rPr>
              <w:t>400</w:t>
            </w:r>
          </w:p>
        </w:tc>
        <w:tc>
          <w:tcPr>
            <w:tcW w:type="dxa" w:w="2880"/>
          </w:tcPr>
          <w:p>
            <w:r>
              <w:rPr>
                <w:sz w:val="17"/>
              </w:rPr>
            </w:r>
            <w:r>
              <w:rPr>
                <w:sz w:val="17"/>
              </w:rPr>
              <w:t>Author's concept, Rosstat</w:t>
            </w:r>
          </w:p>
        </w:tc>
      </w:tr>
      <w:tr>
        <w:tc>
          <w:tcPr>
            <w:tcW w:type="dxa" w:w="2880"/>
          </w:tcPr>
          <w:p>
            <w:r>
              <w:rPr>
                <w:sz w:val="17"/>
              </w:rPr>
            </w:r>
            <w:r>
              <w:rPr>
                <w:sz w:val="17"/>
              </w:rPr>
              <w:t>Commercial real estate</w:t>
            </w:r>
          </w:p>
        </w:tc>
        <w:tc>
          <w:tcPr>
            <w:tcW w:type="dxa" w:w="2880"/>
          </w:tcPr>
          <w:p>
            <w:r>
              <w:rPr>
                <w:sz w:val="17"/>
              </w:rPr>
            </w:r>
            <w:r>
              <w:rPr>
                <w:sz w:val="17"/>
              </w:rPr>
              <w:t>45</w:t>
            </w:r>
          </w:p>
        </w:tc>
        <w:tc>
          <w:tcPr>
            <w:tcW w:type="dxa" w:w="2880"/>
          </w:tcPr>
          <w:p>
            <w:r>
              <w:rPr>
                <w:sz w:val="17"/>
              </w:rPr>
            </w:r>
            <w:r>
              <w:rPr>
                <w:sz w:val="17"/>
              </w:rPr>
              <w:t>Author's concept</w:t>
            </w:r>
          </w:p>
        </w:tc>
      </w:tr>
      <w:tr>
        <w:tc>
          <w:tcPr>
            <w:tcW w:type="dxa" w:w="2880"/>
          </w:tcPr>
          <w:p>
            <w:r>
              <w:rPr>
                <w:sz w:val="17"/>
              </w:rPr>
            </w:r>
            <w:r>
              <w:rPr>
                <w:sz w:val="17"/>
              </w:rPr>
              <w:t>Land plots (housing + under enterprises)</w:t>
            </w:r>
          </w:p>
        </w:tc>
        <w:tc>
          <w:tcPr>
            <w:tcW w:type="dxa" w:w="2880"/>
          </w:tcPr>
          <w:p>
            <w:r>
              <w:rPr>
                <w:sz w:val="17"/>
              </w:rPr>
            </w:r>
            <w:r>
              <w:rPr>
                <w:sz w:val="17"/>
              </w:rPr>
              <w:t>62</w:t>
            </w:r>
          </w:p>
        </w:tc>
        <w:tc>
          <w:tcPr>
            <w:tcW w:type="dxa" w:w="2880"/>
          </w:tcPr>
          <w:p>
            <w:r>
              <w:rPr>
                <w:sz w:val="17"/>
              </w:rPr>
            </w:r>
            <w:r>
              <w:rPr>
                <w:sz w:val="17"/>
              </w:rPr>
              <w:t>Author's concept</w:t>
            </w:r>
          </w:p>
        </w:tc>
      </w:tr>
      <w:tr>
        <w:tc>
          <w:tcPr>
            <w:tcW w:type="dxa" w:w="2880"/>
          </w:tcPr>
          <w:p>
            <w:r>
              <w:rPr>
                <w:sz w:val="17"/>
              </w:rPr>
            </w:r>
            <w:r>
              <w:rPr>
                <w:b/>
                <w:sz w:val="17"/>
              </w:rPr>
              <w:t>TOTAL</w:t>
            </w:r>
          </w:p>
        </w:tc>
        <w:tc>
          <w:tcPr>
            <w:tcW w:type="dxa" w:w="2880"/>
          </w:tcPr>
          <w:p>
            <w:r>
              <w:rPr>
                <w:sz w:val="17"/>
              </w:rPr>
            </w:r>
            <w:r>
              <w:rPr>
                <w:b/>
                <w:sz w:val="17"/>
              </w:rPr>
              <w:t>507</w:t>
            </w:r>
          </w:p>
        </w:tc>
        <w:tc>
          <w:tcPr>
            <w:tcW w:type="dxa" w:w="2880"/>
          </w:tcPr>
          <w:p>
            <w:r>
              <w:rPr>
                <w:sz w:val="17"/>
              </w:rPr>
            </w:r>
          </w:p>
        </w:tc>
      </w:tr>
      <w:tr>
        <w:tc>
          <w:tcPr>
            <w:tcW w:type="dxa" w:w="2880"/>
          </w:tcPr>
          <w:p>
            <w:r>
              <w:rPr>
                <w:sz w:val="17"/>
              </w:rPr>
            </w:r>
            <w:r>
              <w:rPr>
                <w:b/>
                <w:sz w:val="17"/>
              </w:rPr>
              <w:t>Conservative base (10% × 50%)</w:t>
            </w:r>
          </w:p>
        </w:tc>
        <w:tc>
          <w:tcPr>
            <w:tcW w:type="dxa" w:w="2880"/>
          </w:tcPr>
          <w:p>
            <w:r>
              <w:rPr>
                <w:sz w:val="17"/>
              </w:rPr>
            </w:r>
            <w:r>
              <w:rPr>
                <w:b/>
                <w:sz w:val="17"/>
              </w:rPr>
              <w:t>25</w:t>
            </w:r>
          </w:p>
        </w:tc>
        <w:tc>
          <w:tcPr>
            <w:tcW w:type="dxa" w:w="2880"/>
          </w:tcPr>
          <w:p>
            <w:r>
              <w:rPr>
                <w:sz w:val="17"/>
              </w:rPr>
            </w:r>
            <w:r>
              <w:rPr>
                <w:sz w:val="17"/>
              </w:rPr>
              <w:t>Author's concept</w:t>
            </w:r>
          </w:p>
        </w:tc>
      </w:tr>
    </w:tbl>
    <w:p/>
    <w:p>
      <w:pPr>
        <w:jc w:val="both"/>
      </w:pPr>
      <w:r>
        <w:t>The conservative base of RUB 25 tn is the "target capacity" to which the platform aspires over a 10-year horizon.</w:t>
      </w:r>
    </w:p>
    <w:p>
      <w:pPr>
        <w:pStyle w:val="Heading3"/>
      </w:pPr>
      <w:r>
        <w:t>4.3. Demand segmentation</w:t>
      </w:r>
    </w:p>
    <w:p>
      <w:pPr>
        <w:jc w:val="both"/>
      </w:pPr>
      <w:r>
        <w:rPr>
          <w:b/>
        </w:rPr>
        <w:t>Individuals (B2C):</w:t>
      </w:r>
    </w:p>
    <w:p>
      <w:pPr>
        <w:pStyle w:val="ListBullet"/>
      </w:pPr>
      <w:r>
        <w:t>Owners of residential real estate with stable cash flow, looking for ways to monetise the asset without selling.</w:t>
      </w:r>
    </w:p>
    <w:p>
      <w:pPr>
        <w:pStyle w:val="ListBullet"/>
      </w:pPr>
      <w:r>
        <w:t>Target group — around 30–40% of households in large and medium-sized cities of the RF.</w:t>
      </w:r>
    </w:p>
    <w:p>
      <w:pPr>
        <w:jc w:val="both"/>
      </w:pPr>
      <w:r>
        <w:rPr>
          <w:b/>
        </w:rPr>
        <w:t>Legal entities (B2B):</w:t>
      </w:r>
    </w:p>
    <w:p>
      <w:pPr>
        <w:pStyle w:val="ListBullet"/>
      </w:pPr>
      <w:r>
        <w:t>Owners of commercial real estate — landlords, developers, retail chains.</w:t>
      </w:r>
    </w:p>
    <w:p>
      <w:pPr>
        <w:pStyle w:val="ListBullet"/>
      </w:pPr>
      <w:r>
        <w:t>Industrial enterprises with land assets.</w:t>
      </w:r>
    </w:p>
    <w:p>
      <w:pPr>
        <w:pStyle w:val="ListBullet"/>
      </w:pPr>
      <w:r>
        <w:t>Holdings with non-core assets.</w:t>
      </w:r>
    </w:p>
    <w:p>
      <w:pPr>
        <w:jc w:val="both"/>
      </w:pPr>
      <w:r>
        <w:rPr>
          <w:b/>
        </w:rPr>
        <w:t>State enterprises (B2G):</w:t>
      </w:r>
    </w:p>
    <w:p>
      <w:pPr>
        <w:pStyle w:val="ListBullet"/>
      </w:pPr>
      <w:r>
        <w:t>Owners of infrastructure and socially significant assets (including through subsidiaries).</w:t>
      </w:r>
    </w:p>
    <w:p>
      <w:pPr>
        <w:pStyle w:val="ListBullet"/>
      </w:pPr>
      <w:r>
        <w:t>Regions and municipalities — for financing regional programmes via the pledge of municipal property.</w:t>
      </w:r>
    </w:p>
    <w:p>
      <w:pPr>
        <w:pStyle w:val="Heading3"/>
      </w:pPr>
      <w:r>
        <w:t>4.4. Competitors</w:t>
      </w:r>
    </w:p>
    <w:p>
      <w:pPr>
        <w:jc w:val="both"/>
      </w:pPr>
      <w:r>
        <w:t>In Stage 1 (пилот 2028–2029) the existing 779-P register operators (Sber CFA, Alfa CFA, Atomyze JSC, Masterchain) are potential technology partners, not competitors at the licensing level. Indirect competitors: bank lending against real-estate collateral (slower, more expensive, with no targeted focus on national projects); crowdfunding and investment platforms (smaller, without the state perimeter).</w:t>
      </w:r>
    </w:p>
    <w:p>
      <w:pPr>
        <w:jc w:val="both"/>
      </w:pPr>
      <w:r>
        <w:t>CPFSR's competitive advantage is the two-stage architecture: in Stage 1 — a specialised front-end layer over a 779-P operator linked to infrastructure funding through the VEB.RF Factory (Government Decree No. 158) + the Federal Treasury (Budget Code) and targeted placement in national projects, with property preserved in the owner's hands. In Stage 2 (2029+ horizon) — a defensible path to the targeted secured-emission model of the Bank of Russia. This is not the "best" product in the existing category, but a new category of targeted infrastructure DFA.</w:t>
      </w:r>
    </w:p>
    <w:p>
      <w:pPr>
        <w:pStyle w:val="Heading3"/>
      </w:pPr>
      <w:r>
        <w:t>4.5. Regulatory environment</w:t>
      </w:r>
    </w:p>
    <w:p>
      <w:pPr>
        <w:jc w:val="both"/>
      </w:pPr>
      <w:r>
        <w:rPr>
          <w:b/>
        </w:rPr>
        <w:t>Current base:</w:t>
      </w:r>
    </w:p>
    <w:p>
      <w:pPr>
        <w:pStyle w:val="ListBullet"/>
      </w:pPr>
      <w:r>
        <w:t>86-FZ "On the Central Bank of the Russian Federation (Bank of Russia)"</w:t>
      </w:r>
    </w:p>
    <w:p>
      <w:pPr>
        <w:pStyle w:val="ListBullet"/>
      </w:pPr>
      <w:r>
        <w:t>259-FZ "On Digital Financial Assets, the Digital Currency and on Amendments to Certain Legislative Acts of the Russian Federation"</w:t>
      </w:r>
    </w:p>
    <w:p>
      <w:pPr>
        <w:pStyle w:val="ListBullet"/>
      </w:pPr>
      <w:r>
        <w:t>39-FZ "On the Securities Market"</w:t>
      </w:r>
    </w:p>
    <w:p>
      <w:pPr>
        <w:pStyle w:val="ListBullet"/>
      </w:pPr>
      <w:r>
        <w:t>102-FZ "On Mortgage (Pledge of Real Estate)"</w:t>
      </w:r>
    </w:p>
    <w:p>
      <w:pPr>
        <w:pStyle w:val="ListBullet"/>
      </w:pPr>
      <w:r>
        <w:t>218-FZ "On State Real Estate Registration"</w:t>
      </w:r>
    </w:p>
    <w:p>
      <w:pPr>
        <w:pStyle w:val="ListBullet"/>
      </w:pPr>
      <w:r>
        <w:t>Tax Code (Chapters 21, 25, 34)</w:t>
      </w:r>
    </w:p>
    <w:p>
      <w:pPr>
        <w:jc w:val="both"/>
      </w:pPr>
      <w:r>
        <w:rPr>
          <w:b/>
        </w:rPr>
        <w:t>Stage 1 (2028–2029): regulatory changes are not required.</w:t>
      </w:r>
      <w:r>
        <w:t xml:space="preserve"> The near contour is launched on the current base of 259-FZ + 779-P + Budget Code + Government Decree No. 158 + Civil Code. Adjustments are made at the level of the operator's rules under Article 6 of Federal Law 259-FZ (approved by the Bank of Russia) and the contract structure with the technology partner (Atomyze or another 779-P register entity).</w:t>
      </w:r>
    </w:p>
    <w:p>
      <w:pPr>
        <w:jc w:val="both"/>
      </w:pPr>
      <w:r>
        <w:rPr>
          <w:b/>
        </w:rPr>
        <w:t>Stage 2 (2029+ horizon): the package of four federal-law amendments.</w:t>
      </w:r>
      <w:r>
        <w:t xml:space="preserve"> Entry condition — a positive Stage 1 track record of at least 12 months of industrial operation and an inter-agency position of the Ministry of Economic Development / Ministry of Finance / VEB.RF / State Duma. Composition:</w:t>
      </w:r>
    </w:p>
    <w:p>
      <w:pPr>
        <w:pStyle w:val="ListBullet"/>
      </w:pPr>
      <w:r>
        <w:t>86-FZ — formalisation of the institute of targeted secured emission against a pool of pledged DFA.</w:t>
      </w:r>
    </w:p>
    <w:p>
      <w:pPr>
        <w:pStyle w:val="ListBullet"/>
      </w:pPr>
      <w:r>
        <w:t>259-FZ — the category of "targeted infrastructure DFA" and regulation of the exchange procedure.</w:t>
      </w:r>
    </w:p>
    <w:p>
      <w:pPr>
        <w:pStyle w:val="ListBullet"/>
      </w:pPr>
      <w:r>
        <w:t>Budget Code — procedure for the Federal Treasury to receive the proceeds of the targeted emission.</w:t>
      </w:r>
    </w:p>
    <w:p>
      <w:pPr>
        <w:pStyle w:val="ListBullet"/>
      </w:pPr>
      <w:r>
        <w:t>Civil Code — extension of the escrow institute to special accounts of the Bank of Russia for the placement of the targeted-emission proceeds.</w:t>
      </w:r>
    </w:p>
    <w:p>
      <w:pPr>
        <w:pStyle w:val="ListBullet"/>
      </w:pPr>
      <w:r>
        <w:t>Sub-legislative acts: government decrees, a CBR Directive, a joint order of the Ministry of Finance / CBR / Ministry of Digital Development / Rosreestr / Federal Treasury.</w:t>
      </w:r>
    </w:p>
    <w:p>
      <w:pPr>
        <w:jc w:val="both"/>
      </w:pPr>
      <w:r>
        <w:t>This block is described in a separate "Legal Framework" project document.</w:t>
      </w:r>
    </w:p>
    <w:p>
      <w:pPr>
        <w:pStyle w:val="Heading2"/>
      </w:pPr>
      <w:r>
        <w:t>5. Marketing and sales</w:t>
      </w:r>
    </w:p>
    <w:p>
      <w:pPr>
        <w:pStyle w:val="Heading3"/>
      </w:pPr>
      <w:r>
        <w:t>5.1. Acquisition channels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Channel</w:t>
            </w:r>
          </w:p>
        </w:tc>
        <w:tc>
          <w:tcPr>
            <w:tcW w:type="dxa" w:w="2880"/>
          </w:tcPr>
          <w:p>
            <w:r>
              <w:rPr>
                <w:b/>
                <w:sz w:val="17"/>
              </w:rPr>
            </w:r>
            <w:r>
              <w:rPr>
                <w:b/>
                <w:sz w:val="17"/>
              </w:rPr>
              <w:t>Target audience</w:t>
            </w:r>
          </w:p>
        </w:tc>
        <w:tc>
          <w:tcPr>
            <w:tcW w:type="dxa" w:w="2880"/>
          </w:tcPr>
          <w:p>
            <w:r>
              <w:rPr>
                <w:b/>
                <w:sz w:val="17"/>
              </w:rPr>
            </w:r>
            <w:r>
              <w:rPr>
                <w:b/>
                <w:sz w:val="17"/>
              </w:rPr>
              <w:t>Expected issuance share</w:t>
            </w:r>
          </w:p>
        </w:tc>
      </w:tr>
      <w:tr>
        <w:tc>
          <w:tcPr>
            <w:tcW w:type="dxa" w:w="2880"/>
          </w:tcPr>
          <w:p>
            <w:r>
              <w:rPr>
                <w:sz w:val="17"/>
              </w:rPr>
            </w:r>
            <w:r>
              <w:rPr>
                <w:sz w:val="17"/>
              </w:rPr>
              <w:t>Partner banks (B2B2C)</w:t>
            </w:r>
          </w:p>
        </w:tc>
        <w:tc>
          <w:tcPr>
            <w:tcW w:type="dxa" w:w="2880"/>
          </w:tcPr>
          <w:p>
            <w:r>
              <w:rPr>
                <w:sz w:val="17"/>
              </w:rPr>
            </w:r>
            <w:r>
              <w:rPr>
                <w:sz w:val="17"/>
              </w:rPr>
              <w:t>Individuals and SMEs via banking apps</w:t>
            </w:r>
          </w:p>
        </w:tc>
        <w:tc>
          <w:tcPr>
            <w:tcW w:type="dxa" w:w="2880"/>
          </w:tcPr>
          <w:p>
            <w:r>
              <w:rPr>
                <w:sz w:val="17"/>
              </w:rPr>
            </w:r>
            <w:r>
              <w:rPr>
                <w:sz w:val="17"/>
              </w:rPr>
              <w:t>40–50%</w:t>
            </w:r>
          </w:p>
        </w:tc>
      </w:tr>
      <w:tr>
        <w:tc>
          <w:tcPr>
            <w:tcW w:type="dxa" w:w="2880"/>
          </w:tcPr>
          <w:p>
            <w:r>
              <w:rPr>
                <w:sz w:val="17"/>
              </w:rPr>
            </w:r>
            <w:r>
              <w:rPr>
                <w:sz w:val="17"/>
              </w:rPr>
              <w:t>Direct digital channel</w:t>
            </w:r>
          </w:p>
        </w:tc>
        <w:tc>
          <w:tcPr>
            <w:tcW w:type="dxa" w:w="2880"/>
          </w:tcPr>
          <w:p>
            <w:r>
              <w:rPr>
                <w:sz w:val="17"/>
              </w:rPr>
            </w:r>
            <w:r>
              <w:rPr>
                <w:sz w:val="17"/>
              </w:rPr>
              <w:t>Owners of large assets</w:t>
            </w:r>
          </w:p>
        </w:tc>
        <w:tc>
          <w:tcPr>
            <w:tcW w:type="dxa" w:w="2880"/>
          </w:tcPr>
          <w:p>
            <w:r>
              <w:rPr>
                <w:sz w:val="17"/>
              </w:rPr>
            </w:r>
            <w:r>
              <w:rPr>
                <w:sz w:val="17"/>
              </w:rPr>
              <w:t>15–20%</w:t>
            </w:r>
          </w:p>
        </w:tc>
      </w:tr>
      <w:tr>
        <w:tc>
          <w:tcPr>
            <w:tcW w:type="dxa" w:w="2880"/>
          </w:tcPr>
          <w:p>
            <w:r>
              <w:rPr>
                <w:sz w:val="17"/>
              </w:rPr>
            </w:r>
            <w:r>
              <w:rPr>
                <w:sz w:val="17"/>
              </w:rPr>
              <w:t>Partner insurance companies</w:t>
            </w:r>
          </w:p>
        </w:tc>
        <w:tc>
          <w:tcPr>
            <w:tcW w:type="dxa" w:w="2880"/>
          </w:tcPr>
          <w:p>
            <w:r>
              <w:rPr>
                <w:sz w:val="17"/>
              </w:rPr>
            </w:r>
            <w:r>
              <w:rPr>
                <w:sz w:val="17"/>
              </w:rPr>
              <w:t>Cross-sales of insurance products</w:t>
            </w:r>
          </w:p>
        </w:tc>
        <w:tc>
          <w:tcPr>
            <w:tcW w:type="dxa" w:w="2880"/>
          </w:tcPr>
          <w:p>
            <w:r>
              <w:rPr>
                <w:sz w:val="17"/>
              </w:rPr>
            </w:r>
            <w:r>
              <w:rPr>
                <w:sz w:val="17"/>
              </w:rPr>
              <w:t>10–15%</w:t>
            </w:r>
          </w:p>
        </w:tc>
      </w:tr>
      <w:tr>
        <w:tc>
          <w:tcPr>
            <w:tcW w:type="dxa" w:w="2880"/>
          </w:tcPr>
          <w:p>
            <w:r>
              <w:rPr>
                <w:sz w:val="17"/>
              </w:rPr>
            </w:r>
            <w:r>
              <w:rPr>
                <w:sz w:val="17"/>
              </w:rPr>
              <w:t>Partner appraisers</w:t>
            </w:r>
          </w:p>
        </w:tc>
        <w:tc>
          <w:tcPr>
            <w:tcW w:type="dxa" w:w="2880"/>
          </w:tcPr>
          <w:p>
            <w:r>
              <w:rPr>
                <w:sz w:val="17"/>
              </w:rPr>
            </w:r>
            <w:r>
              <w:rPr>
                <w:sz w:val="17"/>
              </w:rPr>
              <w:t>Through the professional community</w:t>
            </w:r>
          </w:p>
        </w:tc>
        <w:tc>
          <w:tcPr>
            <w:tcW w:type="dxa" w:w="2880"/>
          </w:tcPr>
          <w:p>
            <w:r>
              <w:rPr>
                <w:sz w:val="17"/>
              </w:rPr>
            </w:r>
            <w:r>
              <w:rPr>
                <w:sz w:val="17"/>
              </w:rPr>
              <w:t>5–10%</w:t>
            </w:r>
          </w:p>
        </w:tc>
      </w:tr>
      <w:tr>
        <w:tc>
          <w:tcPr>
            <w:tcW w:type="dxa" w:w="2880"/>
          </w:tcPr>
          <w:p>
            <w:r>
              <w:rPr>
                <w:sz w:val="17"/>
              </w:rPr>
            </w:r>
            <w:r>
              <w:rPr>
                <w:sz w:val="17"/>
              </w:rPr>
              <w:t>State B2G channel</w:t>
            </w:r>
          </w:p>
        </w:tc>
        <w:tc>
          <w:tcPr>
            <w:tcW w:type="dxa" w:w="2880"/>
          </w:tcPr>
          <w:p>
            <w:r>
              <w:rPr>
                <w:sz w:val="17"/>
              </w:rPr>
            </w:r>
            <w:r>
              <w:rPr>
                <w:sz w:val="17"/>
              </w:rPr>
              <w:t>Through regional and municipal programmes</w:t>
            </w:r>
          </w:p>
        </w:tc>
        <w:tc>
          <w:tcPr>
            <w:tcW w:type="dxa" w:w="2880"/>
          </w:tcPr>
          <w:p>
            <w:r>
              <w:rPr>
                <w:sz w:val="17"/>
              </w:rPr>
            </w:r>
            <w:r>
              <w:rPr>
                <w:sz w:val="17"/>
              </w:rPr>
              <w:t>15–20%</w:t>
            </w:r>
          </w:p>
        </w:tc>
      </w:tr>
    </w:tbl>
    <w:p/>
    <w:p>
      <w:pPr>
        <w:pStyle w:val="Heading3"/>
      </w:pPr>
      <w:r>
        <w:t>5.2. Unit economics</w:t>
      </w:r>
    </w:p>
    <w:p>
      <w:pPr>
        <w:jc w:val="both"/>
      </w:pPr>
      <w:r>
        <w:rPr>
          <w:b/>
        </w:rPr>
        <w:t>Base calculation per average issuance.</w:t>
      </w:r>
      <w:r>
        <w:t xml:space="preserve"> The average DFA issuance (per individual client) — RUB 10M (based on the average residential value in a large city and an average LTV of 50%).</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Parameter</w:t>
            </w:r>
          </w:p>
        </w:tc>
        <w:tc>
          <w:tcPr>
            <w:tcW w:type="dxa" w:w="4320"/>
          </w:tcPr>
          <w:p>
            <w:r>
              <w:rPr>
                <w:b/>
                <w:sz w:val="17"/>
              </w:rPr>
            </w:r>
            <w:r>
              <w:rPr>
                <w:b/>
                <w:sz w:val="17"/>
              </w:rPr>
              <w:t>Value</w:t>
            </w:r>
          </w:p>
        </w:tc>
      </w:tr>
      <w:tr>
        <w:tc>
          <w:tcPr>
            <w:tcW w:type="dxa" w:w="4320"/>
          </w:tcPr>
          <w:p>
            <w:r>
              <w:rPr>
                <w:sz w:val="17"/>
              </w:rPr>
            </w:r>
            <w:r>
              <w:rPr>
                <w:sz w:val="17"/>
              </w:rPr>
              <w:t>Average issuance, RUB</w:t>
            </w:r>
          </w:p>
        </w:tc>
        <w:tc>
          <w:tcPr>
            <w:tcW w:type="dxa" w:w="4320"/>
          </w:tcPr>
          <w:p>
            <w:r>
              <w:rPr>
                <w:sz w:val="17"/>
              </w:rPr>
            </w:r>
            <w:r>
              <w:rPr>
                <w:sz w:val="17"/>
              </w:rPr>
              <w:t>10,000,000</w:t>
            </w:r>
          </w:p>
        </w:tc>
      </w:tr>
      <w:tr>
        <w:tc>
          <w:tcPr>
            <w:tcW w:type="dxa" w:w="4320"/>
          </w:tcPr>
          <w:p>
            <w:r>
              <w:rPr>
                <w:sz w:val="17"/>
              </w:rPr>
            </w:r>
            <w:r>
              <w:rPr>
                <w:sz w:val="17"/>
              </w:rPr>
              <w:t>Issuance commission (0.5%), RUB</w:t>
            </w:r>
          </w:p>
        </w:tc>
        <w:tc>
          <w:tcPr>
            <w:tcW w:type="dxa" w:w="4320"/>
          </w:tcPr>
          <w:p>
            <w:r>
              <w:rPr>
                <w:sz w:val="17"/>
              </w:rPr>
            </w:r>
            <w:r>
              <w:rPr>
                <w:sz w:val="17"/>
              </w:rPr>
              <w:t>50,000</w:t>
            </w:r>
          </w:p>
        </w:tc>
      </w:tr>
      <w:tr>
        <w:tc>
          <w:tcPr>
            <w:tcW w:type="dxa" w:w="4320"/>
          </w:tcPr>
          <w:p>
            <w:r>
              <w:rPr>
                <w:sz w:val="17"/>
              </w:rPr>
            </w:r>
            <w:r>
              <w:rPr>
                <w:sz w:val="17"/>
              </w:rPr>
              <w:t>Servicing commission (0.3% × 5 years), RUB</w:t>
            </w:r>
          </w:p>
        </w:tc>
        <w:tc>
          <w:tcPr>
            <w:tcW w:type="dxa" w:w="4320"/>
          </w:tcPr>
          <w:p>
            <w:r>
              <w:rPr>
                <w:sz w:val="17"/>
              </w:rPr>
            </w:r>
            <w:r>
              <w:rPr>
                <w:sz w:val="17"/>
              </w:rPr>
              <w:t>150,000</w:t>
            </w:r>
          </w:p>
        </w:tc>
      </w:tr>
      <w:tr>
        <w:tc>
          <w:tcPr>
            <w:tcW w:type="dxa" w:w="4320"/>
          </w:tcPr>
          <w:p>
            <w:r>
              <w:rPr>
                <w:sz w:val="17"/>
              </w:rPr>
            </w:r>
            <w:r>
              <w:rPr>
                <w:sz w:val="17"/>
              </w:rPr>
              <w:t>Platform fee (0.15%), RUB</w:t>
            </w:r>
          </w:p>
        </w:tc>
        <w:tc>
          <w:tcPr>
            <w:tcW w:type="dxa" w:w="4320"/>
          </w:tcPr>
          <w:p>
            <w:r>
              <w:rPr>
                <w:sz w:val="17"/>
              </w:rPr>
            </w:r>
            <w:r>
              <w:rPr>
                <w:sz w:val="17"/>
              </w:rPr>
              <w:t>15,000</w:t>
            </w:r>
          </w:p>
        </w:tc>
      </w:tr>
      <w:tr>
        <w:tc>
          <w:tcPr>
            <w:tcW w:type="dxa" w:w="4320"/>
          </w:tcPr>
          <w:p>
            <w:r>
              <w:rPr>
                <w:sz w:val="17"/>
              </w:rPr>
            </w:r>
            <w:r>
              <w:rPr>
                <w:b/>
                <w:sz w:val="17"/>
              </w:rPr>
              <w:t>LTV (lifetime value), RUB</w:t>
            </w:r>
          </w:p>
        </w:tc>
        <w:tc>
          <w:tcPr>
            <w:tcW w:type="dxa" w:w="4320"/>
          </w:tcPr>
          <w:p>
            <w:r>
              <w:rPr>
                <w:sz w:val="17"/>
              </w:rPr>
            </w:r>
            <w:r>
              <w:rPr>
                <w:b/>
                <w:sz w:val="17"/>
              </w:rPr>
              <w:t>215,000</w:t>
            </w:r>
          </w:p>
        </w:tc>
      </w:tr>
      <w:tr>
        <w:tc>
          <w:tcPr>
            <w:tcW w:type="dxa" w:w="4320"/>
          </w:tcPr>
          <w:p>
            <w:r>
              <w:rPr>
                <w:sz w:val="17"/>
              </w:rPr>
            </w:r>
            <w:r>
              <w:rPr>
                <w:b/>
                <w:sz w:val="17"/>
              </w:rPr>
              <w:t>CAC (cost of acquisition), estimated, RUB</w:t>
            </w:r>
          </w:p>
        </w:tc>
        <w:tc>
          <w:tcPr>
            <w:tcW w:type="dxa" w:w="4320"/>
          </w:tcPr>
          <w:p>
            <w:r>
              <w:rPr>
                <w:sz w:val="17"/>
              </w:rPr>
            </w:r>
            <w:r>
              <w:rPr>
                <w:b/>
                <w:sz w:val="17"/>
              </w:rPr>
              <w:t>20,000–40,000</w:t>
            </w:r>
          </w:p>
        </w:tc>
      </w:tr>
      <w:tr>
        <w:tc>
          <w:tcPr>
            <w:tcW w:type="dxa" w:w="4320"/>
          </w:tcPr>
          <w:p>
            <w:r>
              <w:rPr>
                <w:sz w:val="17"/>
              </w:rPr>
            </w:r>
            <w:r>
              <w:rPr>
                <w:b/>
                <w:sz w:val="17"/>
              </w:rPr>
              <w:t>LTV/CAC</w:t>
            </w:r>
          </w:p>
        </w:tc>
        <w:tc>
          <w:tcPr>
            <w:tcW w:type="dxa" w:w="4320"/>
          </w:tcPr>
          <w:p>
            <w:r>
              <w:rPr>
                <w:sz w:val="17"/>
              </w:rPr>
            </w:r>
            <w:r>
              <w:rPr>
                <w:b/>
                <w:sz w:val="17"/>
              </w:rPr>
              <w:t>5–10×</w:t>
            </w:r>
          </w:p>
        </w:tc>
      </w:tr>
      <w:tr>
        <w:tc>
          <w:tcPr>
            <w:tcW w:type="dxa" w:w="4320"/>
          </w:tcPr>
          <w:p>
            <w:r>
              <w:rPr>
                <w:sz w:val="17"/>
              </w:rPr>
            </w:r>
            <w:r>
              <w:rPr>
                <w:sz w:val="17"/>
              </w:rPr>
              <w:t>CAC payback</w:t>
            </w:r>
          </w:p>
        </w:tc>
        <w:tc>
          <w:tcPr>
            <w:tcW w:type="dxa" w:w="4320"/>
          </w:tcPr>
          <w:p>
            <w:r>
              <w:rPr>
                <w:sz w:val="17"/>
              </w:rPr>
            </w:r>
            <w:r>
              <w:rPr>
                <w:sz w:val="17"/>
              </w:rPr>
              <w:t>4–9 months</w:t>
            </w:r>
          </w:p>
        </w:tc>
      </w:tr>
    </w:tbl>
    <w:p/>
    <w:p>
      <w:pPr>
        <w:ind w:left="360"/>
      </w:pPr>
      <w:r>
        <w:rPr>
          <w:i/>
          <w:color w:val="444444"/>
        </w:rPr>
        <w:t>Unit economics are positive from the first issuance. The high LTV/CAC ratio is driven by servicing duration (5-year average DFA life) and automation of valuation processes.</w:t>
      </w:r>
    </w:p>
    <w:p>
      <w:pPr>
        <w:pStyle w:val="Heading3"/>
      </w:pPr>
      <w:r>
        <w:t>5.3. Partnership model</w:t>
      </w:r>
    </w:p>
    <w:p>
      <w:pPr>
        <w:jc w:val="both"/>
      </w:pPr>
      <w:r>
        <w:rPr>
          <w:b/>
        </w:rPr>
        <w:t>Banks.</w:t>
      </w:r>
      <w:r>
        <w:t xml:space="preserve"> CPFSR integrates into banking apps via API. A partner bank acts as the acquisition channel and receives a revenue share (e.g., 30–50% of the issuance commission). This delivers a new service line to the bank without additional regulatory requirements.</w:t>
      </w:r>
    </w:p>
    <w:p>
      <w:pPr>
        <w:jc w:val="both"/>
      </w:pPr>
      <w:r>
        <w:rPr>
          <w:b/>
        </w:rPr>
        <w:t>Insurance companies.</w:t>
      </w:r>
      <w:r>
        <w:t xml:space="preserve"> Mandatory insurance of the pledged property — a built-in platform module. The insurer earns the premium + cross-sales (motor, household). The platform takes an agency fee.</w:t>
      </w:r>
    </w:p>
    <w:p>
      <w:pPr>
        <w:jc w:val="both"/>
      </w:pPr>
      <w:r>
        <w:rPr>
          <w:b/>
        </w:rPr>
        <w:t>Appraisal firms.</w:t>
      </w:r>
      <w:r>
        <w:t xml:space="preserve"> Accredited appraisers conduct the initial collateral valuation; the platform automates 70–80% of the process (mass valuation + desk review). The appraiser receives a fixed fee.</w:t>
      </w:r>
    </w:p>
    <w:p>
      <w:pPr>
        <w:jc w:val="both"/>
      </w:pPr>
      <w:r>
        <w:rPr>
          <w:b/>
        </w:rPr>
        <w:t>Technology integrators.</w:t>
      </w:r>
      <w:r>
        <w:t xml:space="preserve"> Embedding the platform into a partner's infrastructure — a separate service paid on a fixed-project basis.</w:t>
      </w:r>
    </w:p>
    <w:p>
      <w:pPr>
        <w:pStyle w:val="Heading3"/>
      </w:pPr>
      <w:r>
        <w:t>5.4. Marketing plan</w:t>
      </w:r>
    </w:p>
    <w:p>
      <w:pPr>
        <w:pStyle w:val="ListBullet"/>
      </w:pPr>
      <w:r>
        <w:t>2026–2027 (stage 0): closed presentations to regulators, profile committees of the State Duma and the Government of the RF.</w:t>
      </w:r>
    </w:p>
    <w:p>
      <w:pPr>
        <w:pStyle w:val="ListBullet"/>
      </w:pPr>
      <w:r>
        <w:t>2027 (stage 1): industry events (FinTech Forum, SPIEF, Finopolis), launch of the B2B site and technical documents.</w:t>
      </w:r>
    </w:p>
    <w:p>
      <w:pPr>
        <w:pStyle w:val="ListBullet"/>
      </w:pPr>
      <w:r>
        <w:t>2028–2029 (stage 2): onboarding the first 5–10 partner banks, launch of pilot programmes.</w:t>
      </w:r>
    </w:p>
    <w:p>
      <w:pPr>
        <w:pStyle w:val="ListBullet"/>
      </w:pPr>
      <w:r>
        <w:t>2030–2032 (stage 3): mass retail campaign via banking apps, regional programmes for the public sector.</w:t>
      </w:r>
    </w:p>
    <w:p>
      <w:pPr>
        <w:pStyle w:val="ListBullet"/>
      </w:pPr>
      <w:r>
        <w:t>2033+: international positioning (BRICS format), the model for replication in friendly jurisdictions.</w:t>
      </w:r>
    </w:p>
    <w:p>
      <w:pPr>
        <w:pStyle w:val="Heading2"/>
      </w:pPr>
      <w:r>
        <w:t>6. Operational plan</w:t>
      </w:r>
    </w:p>
    <w:p>
      <w:pPr>
        <w:pStyle w:val="Heading3"/>
      </w:pPr>
      <w:r>
        <w:t>6.1. Location</w:t>
      </w:r>
    </w:p>
    <w:p>
      <w:pPr>
        <w:jc w:val="both"/>
      </w:pPr>
      <w:r>
        <w:rPr>
          <w:b/>
        </w:rPr>
        <w:t>Head office</w:t>
      </w:r>
      <w:r>
        <w:t xml:space="preserve"> — Moscow (proximity to the CBR, Ministry of Finance, Ministry of Economic Development, State Duma). Optimal class — A or A+, location in the financial district (Moscow-City, Zamoskvorechye, Tverskaya).</w:t>
      </w:r>
    </w:p>
    <w:p>
      <w:pPr>
        <w:jc w:val="both"/>
      </w:pPr>
      <w:r>
        <w:rPr>
          <w:b/>
        </w:rPr>
        <w:t>Data-centre sites</w:t>
      </w:r>
      <w:r>
        <w:t xml:space="preserve"> — two independent Tier-III+ data centres on the territory of the RF with geo-replication (recommended: Moscow + a regional centre — Saint Petersburg, Yekaterinburg or Novosibirsk). Connection through certified telecom operators with redundant channels.</w:t>
      </w:r>
    </w:p>
    <w:p>
      <w:pPr>
        <w:pStyle w:val="Heading3"/>
      </w:pPr>
      <w:r>
        <w:t>6.2. Technology partners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Category</w:t>
            </w:r>
          </w:p>
        </w:tc>
        <w:tc>
          <w:tcPr>
            <w:tcW w:type="dxa" w:w="4320"/>
          </w:tcPr>
          <w:p>
            <w:r>
              <w:rPr>
                <w:b/>
                <w:sz w:val="17"/>
              </w:rPr>
            </w:r>
            <w:r>
              <w:rPr>
                <w:b/>
                <w:sz w:val="17"/>
              </w:rPr>
              <w:t>Type of partner</w:t>
            </w:r>
          </w:p>
        </w:tc>
      </w:tr>
      <w:tr>
        <w:tc>
          <w:tcPr>
            <w:tcW w:type="dxa" w:w="4320"/>
          </w:tcPr>
          <w:p>
            <w:r>
              <w:rPr>
                <w:sz w:val="17"/>
              </w:rPr>
            </w:r>
            <w:r>
              <w:rPr>
                <w:sz w:val="17"/>
              </w:rPr>
              <w:t>Data centres and connectivity</w:t>
            </w:r>
          </w:p>
        </w:tc>
        <w:tc>
          <w:tcPr>
            <w:tcW w:type="dxa" w:w="4320"/>
          </w:tcPr>
          <w:p>
            <w:r>
              <w:rPr>
                <w:sz w:val="17"/>
              </w:rPr>
            </w:r>
            <w:r>
              <w:rPr>
                <w:sz w:val="17"/>
              </w:rPr>
              <w:t>Certified RF operators (Tier-III+, with state licences)</w:t>
            </w:r>
          </w:p>
        </w:tc>
      </w:tr>
      <w:tr>
        <w:tc>
          <w:tcPr>
            <w:tcW w:type="dxa" w:w="4320"/>
          </w:tcPr>
          <w:p>
            <w:r>
              <w:rPr>
                <w:sz w:val="17"/>
              </w:rPr>
            </w:r>
            <w:r>
              <w:rPr>
                <w:sz w:val="17"/>
              </w:rPr>
              <w:t>Cryptographic modules</w:t>
            </w:r>
          </w:p>
        </w:tc>
        <w:tc>
          <w:tcPr>
            <w:tcW w:type="dxa" w:w="4320"/>
          </w:tcPr>
          <w:p>
            <w:r>
              <w:rPr>
                <w:sz w:val="17"/>
              </w:rPr>
            </w:r>
            <w:r>
              <w:rPr>
                <w:sz w:val="17"/>
              </w:rPr>
              <w:t>Russian FSB-certified crypto providers</w:t>
            </w:r>
          </w:p>
        </w:tc>
      </w:tr>
      <w:tr>
        <w:tc>
          <w:tcPr>
            <w:tcW w:type="dxa" w:w="4320"/>
          </w:tcPr>
          <w:p>
            <w:r>
              <w:rPr>
                <w:sz w:val="17"/>
              </w:rPr>
            </w:r>
            <w:r>
              <w:rPr>
                <w:sz w:val="17"/>
              </w:rPr>
              <w:t>Valuation systems</w:t>
            </w:r>
          </w:p>
        </w:tc>
        <w:tc>
          <w:tcPr>
            <w:tcW w:type="dxa" w:w="4320"/>
          </w:tcPr>
          <w:p>
            <w:r>
              <w:rPr>
                <w:sz w:val="17"/>
              </w:rPr>
            </w:r>
            <w:r>
              <w:rPr>
                <w:sz w:val="17"/>
              </w:rPr>
              <w:t>Accredited Russian appraisers, primarily market leaders</w:t>
            </w:r>
          </w:p>
        </w:tc>
      </w:tr>
      <w:tr>
        <w:tc>
          <w:tcPr>
            <w:tcW w:type="dxa" w:w="4320"/>
          </w:tcPr>
          <w:p>
            <w:r>
              <w:rPr>
                <w:sz w:val="17"/>
              </w:rPr>
            </w:r>
            <w:r>
              <w:rPr>
                <w:sz w:val="17"/>
              </w:rPr>
              <w:t>Insurance</w:t>
            </w:r>
          </w:p>
        </w:tc>
        <w:tc>
          <w:tcPr>
            <w:tcW w:type="dxa" w:w="4320"/>
          </w:tcPr>
          <w:p>
            <w:r>
              <w:rPr>
                <w:sz w:val="17"/>
              </w:rPr>
            </w:r>
            <w:r>
              <w:rPr>
                <w:sz w:val="17"/>
              </w:rPr>
              <w:t>Top-20 insurance companies of the RF</w:t>
            </w:r>
          </w:p>
        </w:tc>
      </w:tr>
      <w:tr>
        <w:tc>
          <w:tcPr>
            <w:tcW w:type="dxa" w:w="4320"/>
          </w:tcPr>
          <w:p>
            <w:r>
              <w:rPr>
                <w:sz w:val="17"/>
              </w:rPr>
            </w:r>
            <w:r>
              <w:rPr>
                <w:sz w:val="17"/>
              </w:rPr>
              <w:t>State authorities</w:t>
            </w:r>
          </w:p>
        </w:tc>
        <w:tc>
          <w:tcPr>
            <w:tcW w:type="dxa" w:w="4320"/>
          </w:tcPr>
          <w:p>
            <w:r>
              <w:rPr>
                <w:sz w:val="17"/>
              </w:rPr>
            </w:r>
            <w:r>
              <w:rPr>
                <w:sz w:val="17"/>
              </w:rPr>
              <w:t>Rosreestr, traffic police, depositories, Federal Treasury (via secured SMEV channels)</w:t>
            </w:r>
          </w:p>
        </w:tc>
      </w:tr>
      <w:tr>
        <w:tc>
          <w:tcPr>
            <w:tcW w:type="dxa" w:w="4320"/>
          </w:tcPr>
          <w:p>
            <w:r>
              <w:rPr>
                <w:sz w:val="17"/>
              </w:rPr>
            </w:r>
            <w:r>
              <w:rPr>
                <w:sz w:val="17"/>
              </w:rPr>
              <w:t>Audit</w:t>
            </w:r>
          </w:p>
        </w:tc>
        <w:tc>
          <w:tcPr>
            <w:tcW w:type="dxa" w:w="4320"/>
          </w:tcPr>
          <w:p>
            <w:r>
              <w:rPr>
                <w:sz w:val="17"/>
              </w:rPr>
            </w:r>
            <w:r>
              <w:rPr>
                <w:sz w:val="17"/>
              </w:rPr>
              <w:t>Independent auditors from the CBR register</w:t>
            </w:r>
          </w:p>
        </w:tc>
      </w:tr>
    </w:tbl>
    <w:p/>
    <w:p>
      <w:pPr>
        <w:pStyle w:val="Heading3"/>
      </w:pPr>
      <w:r>
        <w:t>6.3. Organisational structure</w:t>
      </w:r>
    </w:p>
    <w:p>
      <w:pPr>
        <w:jc w:val="both"/>
      </w:pPr>
      <w:r>
        <w:rPr>
          <w:b/>
        </w:rPr>
        <w:t>Management levels:</w:t>
      </w:r>
    </w:p>
    <w:p>
      <w:pPr>
        <w:pStyle w:val="ListBullet"/>
      </w:pPr>
      <w:r>
        <w:t>Board of Directors (5–9 persons, including independent directors).</w:t>
      </w:r>
    </w:p>
    <w:p>
      <w:pPr>
        <w:pStyle w:val="ListBullet"/>
      </w:pPr>
      <w:r>
        <w:t>Management Board (CEO + 5–7 functional heads).</w:t>
      </w:r>
    </w:p>
    <w:p>
      <w:pPr>
        <w:pStyle w:val="ListBullet"/>
      </w:pPr>
      <w:r>
        <w:t>Functional areas:</w:t>
      </w:r>
    </w:p>
    <w:p>
      <w:pPr>
        <w:pStyle w:val="ListBullet"/>
      </w:pPr>
      <w:r>
        <w:t>Engineering and infrastructure (CTO).</w:t>
      </w:r>
    </w:p>
    <w:p>
      <w:pPr>
        <w:pStyle w:val="ListBullet"/>
      </w:pPr>
      <w:r>
        <w:t>Operations and customer service (COO).</w:t>
      </w:r>
    </w:p>
    <w:p>
      <w:pPr>
        <w:pStyle w:val="ListBullet"/>
      </w:pPr>
      <w:r>
        <w:t>Finance (CFO).</w:t>
      </w:r>
    </w:p>
    <w:p>
      <w:pPr>
        <w:pStyle w:val="ListBullet"/>
      </w:pPr>
      <w:r>
        <w:t>Legal and compliance (CCO).</w:t>
      </w:r>
    </w:p>
    <w:p>
      <w:pPr>
        <w:pStyle w:val="ListBullet"/>
      </w:pPr>
      <w:r>
        <w:t>Risk management (CRO).</w:t>
      </w:r>
    </w:p>
    <w:p>
      <w:pPr>
        <w:pStyle w:val="ListBullet"/>
      </w:pPr>
      <w:r>
        <w:t>BD and partnerships (CBO/CRO).</w:t>
      </w:r>
    </w:p>
    <w:p>
      <w:pPr>
        <w:pStyle w:val="ListBullet"/>
      </w:pPr>
      <w:r>
        <w:t>Marketing and PR (CMO).</w:t>
      </w:r>
    </w:p>
    <w:p>
      <w:pPr>
        <w:pStyle w:val="ListBullet"/>
      </w:pPr>
      <w:r>
        <w:t>HR and culture (CHRO).</w:t>
      </w:r>
    </w:p>
    <w:p>
      <w:pPr>
        <w:pStyle w:val="Heading3"/>
      </w:pPr>
      <w:r>
        <w:t>6.4. Headcount (FTE by year)</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Year</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Headcount</w:t>
            </w:r>
          </w:p>
        </w:tc>
        <w:tc>
          <w:tcPr>
            <w:tcW w:type="dxa" w:w="785"/>
          </w:tcPr>
          <w:p>
            <w:r>
              <w:rPr>
                <w:sz w:val="17"/>
              </w:rPr>
            </w:r>
            <w:r>
              <w:rPr>
                <w:sz w:val="17"/>
              </w:rPr>
              <w:t>40</w:t>
            </w:r>
          </w:p>
        </w:tc>
        <w:tc>
          <w:tcPr>
            <w:tcW w:type="dxa" w:w="785"/>
          </w:tcPr>
          <w:p>
            <w:r>
              <w:rPr>
                <w:sz w:val="17"/>
              </w:rPr>
            </w:r>
            <w:r>
              <w:rPr>
                <w:sz w:val="17"/>
              </w:rPr>
              <w:t>120</w:t>
            </w:r>
          </w:p>
        </w:tc>
        <w:tc>
          <w:tcPr>
            <w:tcW w:type="dxa" w:w="785"/>
          </w:tcPr>
          <w:p>
            <w:r>
              <w:rPr>
                <w:sz w:val="17"/>
              </w:rPr>
            </w:r>
            <w:r>
              <w:rPr>
                <w:sz w:val="17"/>
              </w:rPr>
              <w:t>160</w:t>
            </w:r>
          </w:p>
        </w:tc>
        <w:tc>
          <w:tcPr>
            <w:tcW w:type="dxa" w:w="785"/>
          </w:tcPr>
          <w:p>
            <w:r>
              <w:rPr>
                <w:sz w:val="17"/>
              </w:rPr>
            </w:r>
            <w:r>
              <w:rPr>
                <w:sz w:val="17"/>
              </w:rPr>
              <w:t>200</w:t>
            </w:r>
          </w:p>
        </w:tc>
        <w:tc>
          <w:tcPr>
            <w:tcW w:type="dxa" w:w="785"/>
          </w:tcPr>
          <w:p>
            <w:r>
              <w:rPr>
                <w:sz w:val="17"/>
              </w:rPr>
            </w:r>
            <w:r>
              <w:rPr>
                <w:sz w:val="17"/>
              </w:rPr>
              <w:t>240</w:t>
            </w:r>
          </w:p>
        </w:tc>
        <w:tc>
          <w:tcPr>
            <w:tcW w:type="dxa" w:w="785"/>
          </w:tcPr>
          <w:p>
            <w:r>
              <w:rPr>
                <w:sz w:val="17"/>
              </w:rPr>
            </w:r>
            <w:r>
              <w:rPr>
                <w:sz w:val="17"/>
              </w:rPr>
              <w:t>270</w:t>
            </w:r>
          </w:p>
        </w:tc>
        <w:tc>
          <w:tcPr>
            <w:tcW w:type="dxa" w:w="785"/>
          </w:tcPr>
          <w:p>
            <w:r>
              <w:rPr>
                <w:sz w:val="17"/>
              </w:rPr>
            </w:r>
            <w:r>
              <w:rPr>
                <w:sz w:val="17"/>
              </w:rPr>
              <w:t>300</w:t>
            </w:r>
          </w:p>
        </w:tc>
        <w:tc>
          <w:tcPr>
            <w:tcW w:type="dxa" w:w="785"/>
          </w:tcPr>
          <w:p>
            <w:r>
              <w:rPr>
                <w:sz w:val="17"/>
              </w:rPr>
            </w:r>
            <w:r>
              <w:rPr>
                <w:sz w:val="17"/>
              </w:rPr>
              <w:t>330</w:t>
            </w:r>
          </w:p>
        </w:tc>
        <w:tc>
          <w:tcPr>
            <w:tcW w:type="dxa" w:w="785"/>
          </w:tcPr>
          <w:p>
            <w:r>
              <w:rPr>
                <w:sz w:val="17"/>
              </w:rPr>
            </w:r>
            <w:r>
              <w:rPr>
                <w:sz w:val="17"/>
              </w:rPr>
              <w:t>350</w:t>
            </w:r>
          </w:p>
        </w:tc>
        <w:tc>
          <w:tcPr>
            <w:tcW w:type="dxa" w:w="785"/>
          </w:tcPr>
          <w:p>
            <w:r>
              <w:rPr>
                <w:sz w:val="17"/>
              </w:rPr>
            </w:r>
            <w:r>
              <w:rPr>
                <w:sz w:val="17"/>
              </w:rPr>
              <w:t>370</w:t>
            </w:r>
          </w:p>
        </w:tc>
      </w:tr>
    </w:tbl>
    <w:p/>
    <w:p>
      <w:pPr>
        <w:jc w:val="both"/>
      </w:pPr>
      <w:r>
        <w:t>In the model payroll is calculated as headcount × average salary × 12 × 1.30 (social contributions 30%). First-year salary — RUB 350 thousand per month, indexed at 6% a year.</w:t>
      </w:r>
    </w:p>
    <w:p>
      <w:pPr>
        <w:jc w:val="both"/>
      </w:pPr>
      <w:r>
        <w:t>Structure by end of Year 2 (120 FTE):</w:t>
      </w:r>
    </w:p>
    <w:p>
      <w:pPr>
        <w:pStyle w:val="ListBullet"/>
      </w:pPr>
      <w:r>
        <w:t>Engineering and infrastructure — 50 (42%)</w:t>
      </w:r>
    </w:p>
    <w:p>
      <w:pPr>
        <w:pStyle w:val="ListBullet"/>
      </w:pPr>
      <w:r>
        <w:t>Operations and customer service — 20 (17%)</w:t>
      </w:r>
    </w:p>
    <w:p>
      <w:pPr>
        <w:pStyle w:val="ListBullet"/>
      </w:pPr>
      <w:r>
        <w:t>Legal and compliance — 15 (12.5%)</w:t>
      </w:r>
    </w:p>
    <w:p>
      <w:pPr>
        <w:pStyle w:val="ListBullet"/>
      </w:pPr>
      <w:r>
        <w:t>Risk management — 10 (8%)</w:t>
      </w:r>
    </w:p>
    <w:p>
      <w:pPr>
        <w:pStyle w:val="ListBullet"/>
      </w:pPr>
      <w:r>
        <w:t>BD and partnerships — 10 (8%)</w:t>
      </w:r>
    </w:p>
    <w:p>
      <w:pPr>
        <w:pStyle w:val="ListBullet"/>
      </w:pPr>
      <w:r>
        <w:t>Finance — 8 (7%)</w:t>
      </w:r>
    </w:p>
    <w:p>
      <w:pPr>
        <w:pStyle w:val="ListBullet"/>
      </w:pPr>
      <w:r>
        <w:t>Marketing and PR — 4 (3%)</w:t>
      </w:r>
    </w:p>
    <w:p>
      <w:pPr>
        <w:pStyle w:val="ListBullet"/>
      </w:pPr>
      <w:r>
        <w:t>HR and culture — 3 (2.5%)</w:t>
      </w:r>
    </w:p>
    <w:p>
      <w:pPr>
        <w:pStyle w:val="Heading2"/>
      </w:pPr>
      <w:r>
        <w:t>7. Technology plan</w:t>
      </w:r>
    </w:p>
    <w:p>
      <w:pPr>
        <w:jc w:val="both"/>
      </w:pPr>
      <w:r>
        <w:t xml:space="preserve">The CPFSR technology contour is described in a separate document "Technical documentation with references to federal laws and CBR instructions" (folder </w:t>
      </w:r>
      <w:r>
        <w:rPr>
          <w:rFonts w:ascii="Consolas" w:hAnsi="Consolas"/>
          <w:sz w:val="18"/>
        </w:rPr>
        <w:t>01_Техническая_документация</w:t>
      </w:r>
      <w:r>
        <w:t>).</w:t>
      </w:r>
    </w:p>
    <w:p>
      <w:pPr>
        <w:jc w:val="both"/>
      </w:pPr>
      <w:r>
        <w:t>Key architectural principles:</w:t>
      </w:r>
    </w:p>
    <w:p>
      <w:pPr>
        <w:pStyle w:val="ListNumber"/>
      </w:pPr>
      <w:r>
        <w:t>Microservices architecture on a stack of Russian technologies (Astra Linux, DBMS from the software register, Russian cryptographic modules).</w:t>
      </w:r>
    </w:p>
    <w:p>
      <w:pPr>
        <w:pStyle w:val="ListNumber"/>
      </w:pPr>
      <w:r>
        <w:t>Geo-replication between two data centres with RPO ≤ 5 min, RTO ≤ 30 min.</w:t>
      </w:r>
    </w:p>
    <w:p>
      <w:pPr>
        <w:pStyle w:val="ListNumber"/>
      </w:pPr>
      <w:r>
        <w:t>A multi-layer security model (compliance with 152-FZ, FSTEC requirements, GOSTs).</w:t>
      </w:r>
    </w:p>
    <w:p>
      <w:pPr>
        <w:pStyle w:val="ListNumber"/>
      </w:pPr>
      <w:r>
        <w:t>An integration bus to connect banks, insurers, appraisers and state authorities.</w:t>
      </w:r>
    </w:p>
    <w:p>
      <w:pPr>
        <w:pStyle w:val="ListNumber"/>
      </w:pPr>
      <w:r>
        <w:t>Digital identity — Gosuslugi, SBP (for individuals); e-signature and EDI — for legal entities.</w:t>
      </w:r>
    </w:p>
    <w:p>
      <w:pPr>
        <w:pStyle w:val="ListNumber"/>
      </w:pPr>
      <w:r>
        <w:t>A distributed register for DFA recording (on a certified Russian platform).</w:t>
      </w:r>
    </w:p>
    <w:p>
      <w:pPr>
        <w:pStyle w:val="ListNumber"/>
      </w:pPr>
      <w:r>
        <w:t>Full compliance with the CBR requirements for DFA operators (regulations, instructions, standards).</w:t>
      </w:r>
    </w:p>
    <w:p>
      <w:pPr>
        <w:pStyle w:val="Heading3"/>
      </w:pPr>
      <w:r>
        <w:t>Client-side readiness (as of 2025)</w:t>
      </w:r>
    </w:p>
    <w:p>
      <w:pPr>
        <w:jc w:val="both"/>
      </w:pPr>
      <w:r>
        <w:t xml:space="preserve">By the moment of negotiations with the Bank of Russia and investors, the client side of the platform is </w:t>
      </w:r>
      <w:r>
        <w:rPr>
          <w:b/>
        </w:rPr>
        <w:t>fully developed</w:t>
      </w:r>
      <w:r>
        <w:t>:</w:t>
      </w:r>
    </w:p>
    <w:p>
      <w:pPr>
        <w:pStyle w:val="ListBullet"/>
      </w:pPr>
      <w:r>
        <w:rPr>
          <w:b/>
        </w:rPr>
        <w:t>Progressive Web App mobile application</w:t>
      </w:r>
      <w:r>
        <w:t xml:space="preserve"> — 23 screens, the full 19-step life cycle of the author (from registration to DFA exchange), 4 themes, 4 languages (Russian, English, French, Arabic with RTL), Service Worker for offline mode, manifest.json for device installation.</w:t>
      </w:r>
    </w:p>
    <w:p>
      <w:pPr>
        <w:pStyle w:val="ListBullet"/>
      </w:pPr>
      <w:r>
        <w:rPr>
          <w:b/>
        </w:rPr>
        <w:t>GOST 19 design documentation</w:t>
      </w:r>
      <w:r>
        <w:t xml:space="preserve"> — 12 documents from the Technical Assignment (19.201) to the Schedule of Operational Documents (19.507), ready for submission to the Ministry of Digital Development register (Government Decree No. 1236) and for FSTEC / FSB certification.</w:t>
      </w:r>
    </w:p>
    <w:p>
      <w:pPr>
        <w:pStyle w:val="ListBullet"/>
      </w:pPr>
      <w:r>
        <w:rPr>
          <w:b/>
        </w:rPr>
        <w:t>Capacitor 6 platform builds</w:t>
      </w:r>
      <w:r>
        <w:t xml:space="preserve"> — configuration and instructions for packaging into native Android (AAB for RuStore and Google Play), iOS (App Store), Windows (MSIX for Microsoft Store) applications.</w:t>
      </w:r>
    </w:p>
    <w:p>
      <w:pPr>
        <w:pStyle w:val="ListBullet"/>
      </w:pPr>
      <w:r>
        <w:rPr>
          <w:b/>
        </w:rPr>
        <w:t>RuStore publication pack</w:t>
      </w:r>
      <w:r>
        <w:t xml:space="preserve"> — a catalogue description, a privacy policy (under 152-FZ), terms of use, promo materials, a publication checklist.</w:t>
      </w:r>
    </w:p>
    <w:p>
      <w:pPr>
        <w:jc w:val="both"/>
      </w:pPr>
      <w:r>
        <w:t>The readiness of the client side cuts the time-to-pilot by approximately 3 months and reduces the technology risk of development. This is reflected in the updated international valuation of the project (Reasoned Value pre-money — USD 100% in the base zone).</w:t>
      </w:r>
    </w:p>
    <w:p>
      <w:pPr>
        <w:pStyle w:val="Heading2"/>
      </w:pPr>
      <w:r>
        <w:t>8. Roadmap</w:t>
      </w:r>
    </w:p>
    <w:p>
      <w:pPr>
        <w:pStyle w:val="Heading3"/>
      </w:pPr>
      <w:r>
        <w:t>2027 — Preparation</w:t>
      </w:r>
    </w:p>
    <w:p>
      <w:pPr>
        <w:pStyle w:val="ListBullet"/>
      </w:pPr>
      <w:r>
        <w:t>Registration of the legal entity.</w:t>
      </w:r>
    </w:p>
    <w:p>
      <w:pPr>
        <w:pStyle w:val="ListBullet"/>
      </w:pPr>
      <w:r>
        <w:t>Securing the starter financing (RUB 1.8 bn).</w:t>
      </w:r>
    </w:p>
    <w:p>
      <w:pPr>
        <w:pStyle w:val="ListBullet"/>
      </w:pPr>
      <w:r>
        <w:t>Team build-up (40 → 120 FTE).</w:t>
      </w:r>
    </w:p>
    <w:p>
      <w:pPr>
        <w:pStyle w:val="ListBullet"/>
      </w:pPr>
      <w:r>
        <w:t>Platform development (stage 1): the core, valuation modules, encumbrance recording, DFA issuance.</w:t>
      </w:r>
    </w:p>
    <w:p>
      <w:pPr>
        <w:pStyle w:val="ListBullet"/>
      </w:pPr>
      <w:r>
        <w:t>Legal support of amendments to 86-FZ and 259-FZ.</w:t>
      </w:r>
    </w:p>
    <w:p>
      <w:pPr>
        <w:pStyle w:val="ListBullet"/>
      </w:pPr>
      <w:r>
        <w:t>Obtaining the dedicated CBR licence.</w:t>
      </w:r>
    </w:p>
    <w:p>
      <w:pPr>
        <w:pStyle w:val="ListBullet"/>
      </w:pPr>
      <w:r>
        <w:t>Accreditation in the CBR register of operators of information systems.</w:t>
      </w:r>
    </w:p>
    <w:p>
      <w:pPr>
        <w:pStyle w:val="Heading3"/>
      </w:pPr>
      <w:r>
        <w:t>2028-2029 — Pilot</w:t>
      </w:r>
    </w:p>
    <w:p>
      <w:pPr>
        <w:pStyle w:val="ListBullet"/>
      </w:pPr>
      <w:r>
        <w:t>Launch of pilot programmes with 2–3 partner banks.</w:t>
      </w:r>
    </w:p>
    <w:p>
      <w:pPr>
        <w:pStyle w:val="ListBullet"/>
      </w:pPr>
      <w:r>
        <w:t>First DFA issuances (volume of ~RUB 112 bn in 2028, ~RUB 526 bn in 2029).</w:t>
      </w:r>
    </w:p>
    <w:p>
      <w:pPr>
        <w:pStyle w:val="ListBullet"/>
      </w:pPr>
      <w:r>
        <w:t>Operational processes tested on a limited sample.</w:t>
      </w:r>
    </w:p>
    <w:p>
      <w:pPr>
        <w:pStyle w:val="ListBullet"/>
      </w:pPr>
      <w:r>
        <w:t>Integrations with Rosreestr, depositories, the Federal Treasury.</w:t>
      </w:r>
    </w:p>
    <w:p>
      <w:pPr>
        <w:pStyle w:val="ListBullet"/>
      </w:pPr>
      <w:r>
        <w:t>Onboarding of the first insurance partners and appraisal firms.</w:t>
      </w:r>
    </w:p>
    <w:p>
      <w:pPr>
        <w:pStyle w:val="Heading3"/>
      </w:pPr>
      <w:r>
        <w:t>2030+ — Replication</w:t>
      </w:r>
    </w:p>
    <w:p>
      <w:pPr>
        <w:pStyle w:val="ListBullet"/>
      </w:pPr>
      <w:r>
        <w:t>Expansion of the partner network (banks, regions, sectors).</w:t>
      </w:r>
    </w:p>
    <w:p>
      <w:pPr>
        <w:pStyle w:val="ListBullet"/>
      </w:pPr>
      <w:r>
        <w:t>Scaling of issuances (annual volume from RUB 1.3 tn in 2030 to RUB 6.9 tn in 2036).</w:t>
      </w:r>
    </w:p>
    <w:p>
      <w:pPr>
        <w:pStyle w:val="ListBullet"/>
      </w:pPr>
      <w:r>
        <w:t>Connection of state financing programmes through the CBR escrow circuit.</w:t>
      </w:r>
    </w:p>
    <w:p>
      <w:pPr>
        <w:pStyle w:val="ListBullet"/>
      </w:pPr>
      <w:r>
        <w:t>Launch of B2C channels via banking apps.</w:t>
      </w:r>
    </w:p>
    <w:p>
      <w:pPr>
        <w:pStyle w:val="ListBullet"/>
      </w:pPr>
      <w:r>
        <w:t>Preparation for exporting the model to friendly jurisdictions (BRICS format).</w:t>
      </w:r>
    </w:p>
    <w:p>
      <w:pPr>
        <w:pStyle w:val="Heading2"/>
      </w:pPr>
      <w:r>
        <w:t>9. Financial plan</w:t>
      </w:r>
    </w:p>
    <w:p>
      <w:pPr>
        <w:jc w:val="both"/>
      </w:pPr>
      <w:r>
        <w:t xml:space="preserve">Full calculations — in the documents </w:t>
      </w:r>
      <w:r>
        <w:rPr>
          <w:rFonts w:ascii="Consolas" w:hAnsi="Consolas"/>
          <w:sz w:val="18"/>
        </w:rPr>
        <w:t>Финансовая_модель_ЦП_РСФСР.md</w:t>
      </w:r>
      <w:r>
        <w:t xml:space="preserve"> and </w:t>
      </w:r>
      <w:r>
        <w:rPr>
          <w:rFonts w:ascii="Consolas" w:hAnsi="Consolas"/>
          <w:sz w:val="18"/>
        </w:rPr>
        <w:t>Финмодель_допущения_и_расчёты.md</w:t>
      </w:r>
      <w:r>
        <w:t>.</w:t>
      </w:r>
    </w:p>
    <w:p>
      <w:pPr>
        <w:pStyle w:val="Heading3"/>
      </w:pPr>
      <w:r>
        <w:t>9.1. Brief summary of the base scenario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Indicator</w:t>
            </w:r>
          </w:p>
        </w:tc>
        <w:tc>
          <w:tcPr>
            <w:tcW w:type="dxa" w:w="4320"/>
          </w:tcPr>
          <w:p>
            <w:r>
              <w:rPr>
                <w:b/>
                <w:sz w:val="17"/>
              </w:rPr>
            </w:r>
            <w:r>
              <w:rPr>
                <w:b/>
                <w:sz w:val="17"/>
              </w:rPr>
              <w:t>Value</w:t>
            </w:r>
          </w:p>
        </w:tc>
      </w:tr>
      <w:tr>
        <w:tc>
          <w:tcPr>
            <w:tcW w:type="dxa" w:w="4320"/>
          </w:tcPr>
          <w:p>
            <w:r>
              <w:rPr>
                <w:sz w:val="17"/>
              </w:rPr>
            </w:r>
            <w:r>
              <w:rPr>
                <w:sz w:val="17"/>
              </w:rPr>
              <w:t>Enterprise value @ 29.58% (with terminal value, g = 4%)</w:t>
            </w:r>
          </w:p>
        </w:tc>
        <w:tc>
          <w:tcPr>
            <w:tcW w:type="dxa" w:w="4320"/>
          </w:tcPr>
          <w:p>
            <w:r>
              <w:rPr>
                <w:sz w:val="17"/>
              </w:rPr>
            </w:r>
            <w:r>
              <w:rPr>
                <w:sz w:val="17"/>
              </w:rPr>
              <w:t>RUB 63.0 bn</w:t>
            </w:r>
          </w:p>
        </w:tc>
      </w:tr>
      <w:tr>
        <w:tc>
          <w:tcPr>
            <w:tcW w:type="dxa" w:w="4320"/>
          </w:tcPr>
          <w:p>
            <w:r>
              <w:rPr>
                <w:sz w:val="17"/>
              </w:rPr>
            </w:r>
            <w:r>
              <w:rPr>
                <w:sz w:val="17"/>
              </w:rPr>
              <w:t>of which discounted cash flows over 10 years</w:t>
            </w:r>
          </w:p>
        </w:tc>
        <w:tc>
          <w:tcPr>
            <w:tcW w:type="dxa" w:w="4320"/>
          </w:tcPr>
          <w:p>
            <w:r>
              <w:rPr>
                <w:sz w:val="17"/>
              </w:rPr>
            </w:r>
            <w:r>
              <w:rPr>
                <w:sz w:val="17"/>
              </w:rPr>
              <w:t>RUB 39.0 bn</w:t>
            </w:r>
          </w:p>
        </w:tc>
      </w:tr>
      <w:tr>
        <w:tc>
          <w:tcPr>
            <w:tcW w:type="dxa" w:w="4320"/>
          </w:tcPr>
          <w:p>
            <w:r>
              <w:rPr>
                <w:sz w:val="17"/>
              </w:rPr>
            </w:r>
            <w:r>
              <w:rPr>
                <w:sz w:val="17"/>
              </w:rPr>
              <w:t>of which discounted terminal value</w:t>
            </w:r>
          </w:p>
        </w:tc>
        <w:tc>
          <w:tcPr>
            <w:tcW w:type="dxa" w:w="4320"/>
          </w:tcPr>
          <w:p>
            <w:r>
              <w:rPr>
                <w:sz w:val="17"/>
              </w:rPr>
            </w:r>
            <w:r>
              <w:rPr>
                <w:sz w:val="17"/>
              </w:rPr>
              <w:t>RUB 24.0 bn (38%)</w:t>
            </w:r>
          </w:p>
        </w:tc>
      </w:tr>
      <w:tr>
        <w:tc>
          <w:tcPr>
            <w:tcW w:type="dxa" w:w="4320"/>
          </w:tcPr>
          <w:p>
            <w:r>
              <w:rPr>
                <w:sz w:val="17"/>
              </w:rPr>
            </w:r>
            <w:r>
              <w:rPr>
                <w:sz w:val="17"/>
              </w:rPr>
              <w:t>Simple payback</w:t>
            </w:r>
          </w:p>
        </w:tc>
        <w:tc>
          <w:tcPr>
            <w:tcW w:type="dxa" w:w="4320"/>
          </w:tcPr>
          <w:p>
            <w:r>
              <w:rPr>
                <w:sz w:val="17"/>
              </w:rPr>
            </w:r>
            <w:r>
              <w:rPr>
                <w:sz w:val="17"/>
              </w:rPr>
              <w:t>2.73 years</w:t>
            </w:r>
          </w:p>
        </w:tc>
      </w:tr>
      <w:tr>
        <w:tc>
          <w:tcPr>
            <w:tcW w:type="dxa" w:w="4320"/>
          </w:tcPr>
          <w:p>
            <w:r>
              <w:rPr>
                <w:sz w:val="17"/>
              </w:rPr>
            </w:r>
            <w:r>
              <w:rPr>
                <w:sz w:val="17"/>
              </w:rPr>
              <w:t>Discounted payback</w:t>
            </w:r>
          </w:p>
        </w:tc>
        <w:tc>
          <w:tcPr>
            <w:tcW w:type="dxa" w:w="4320"/>
          </w:tcPr>
          <w:p>
            <w:r>
              <w:rPr>
                <w:sz w:val="17"/>
              </w:rPr>
            </w:r>
            <w:r>
              <w:rPr>
                <w:sz w:val="17"/>
              </w:rPr>
              <w:t>3.05 years</w:t>
            </w:r>
          </w:p>
        </w:tc>
      </w:tr>
      <w:tr>
        <w:tc>
          <w:tcPr>
            <w:tcW w:type="dxa" w:w="4320"/>
          </w:tcPr>
          <w:p>
            <w:r>
              <w:rPr>
                <w:sz w:val="17"/>
              </w:rPr>
            </w:r>
            <w:r>
              <w:rPr>
                <w:sz w:val="17"/>
              </w:rPr>
              <w:t>Starter round (request)</w:t>
            </w:r>
          </w:p>
        </w:tc>
        <w:tc>
          <w:tcPr>
            <w:tcW w:type="dxa" w:w="4320"/>
          </w:tcPr>
          <w:p>
            <w:r>
              <w:rPr>
                <w:sz w:val="17"/>
              </w:rPr>
            </w:r>
            <w:r>
              <w:rPr>
                <w:sz w:val="17"/>
              </w:rPr>
              <w:t>RUB 1.8 bn</w:t>
            </w:r>
          </w:p>
        </w:tc>
      </w:tr>
      <w:tr>
        <w:tc>
          <w:tcPr>
            <w:tcW w:type="dxa" w:w="4320"/>
          </w:tcPr>
          <w:p>
            <w:r>
              <w:rPr>
                <w:sz w:val="17"/>
              </w:rPr>
            </w:r>
            <w:r>
              <w:rPr>
                <w:sz w:val="17"/>
              </w:rPr>
              <w:t>Peak financing need</w:t>
            </w:r>
          </w:p>
        </w:tc>
        <w:tc>
          <w:tcPr>
            <w:tcW w:type="dxa" w:w="4320"/>
          </w:tcPr>
          <w:p>
            <w:r>
              <w:rPr>
                <w:sz w:val="17"/>
              </w:rPr>
            </w:r>
            <w:r>
              <w:rPr>
                <w:sz w:val="17"/>
              </w:rPr>
              <w:t>RUB 1.70 bn (end of 2028)</w:t>
            </w:r>
          </w:p>
        </w:tc>
      </w:tr>
      <w:tr>
        <w:tc>
          <w:tcPr>
            <w:tcW w:type="dxa" w:w="4320"/>
          </w:tcPr>
          <w:p>
            <w:r>
              <w:rPr>
                <w:sz w:val="17"/>
              </w:rPr>
            </w:r>
            <w:r>
              <w:rPr>
                <w:sz w:val="17"/>
              </w:rPr>
              <w:t>2031 revenue (year 5)</w:t>
            </w:r>
          </w:p>
        </w:tc>
        <w:tc>
          <w:tcPr>
            <w:tcW w:type="dxa" w:w="4320"/>
          </w:tcPr>
          <w:p>
            <w:r>
              <w:rPr>
                <w:sz w:val="17"/>
              </w:rPr>
            </w:r>
            <w:r>
              <w:rPr>
                <w:sz w:val="17"/>
              </w:rPr>
              <w:t>RUB 39.0 bn</w:t>
            </w:r>
          </w:p>
        </w:tc>
      </w:tr>
      <w:tr>
        <w:tc>
          <w:tcPr>
            <w:tcW w:type="dxa" w:w="4320"/>
          </w:tcPr>
          <w:p>
            <w:r>
              <w:rPr>
                <w:sz w:val="17"/>
              </w:rPr>
            </w:r>
            <w:r>
              <w:rPr>
                <w:sz w:val="17"/>
              </w:rPr>
              <w:t>2036 revenue (year 10)</w:t>
            </w:r>
          </w:p>
        </w:tc>
        <w:tc>
          <w:tcPr>
            <w:tcW w:type="dxa" w:w="4320"/>
          </w:tcPr>
          <w:p>
            <w:r>
              <w:rPr>
                <w:sz w:val="17"/>
              </w:rPr>
            </w:r>
            <w:r>
              <w:rPr>
                <w:sz w:val="17"/>
              </w:rPr>
              <w:t>RUB 142.6 bn</w:t>
            </w:r>
          </w:p>
        </w:tc>
      </w:tr>
      <w:tr>
        <w:tc>
          <w:tcPr>
            <w:tcW w:type="dxa" w:w="4320"/>
          </w:tcPr>
          <w:p>
            <w:r>
              <w:rPr>
                <w:sz w:val="17"/>
              </w:rPr>
            </w:r>
            <w:r>
              <w:rPr>
                <w:sz w:val="17"/>
              </w:rPr>
              <w:t>2036 EBITDA</w:t>
            </w:r>
          </w:p>
        </w:tc>
        <w:tc>
          <w:tcPr>
            <w:tcW w:type="dxa" w:w="4320"/>
          </w:tcPr>
          <w:p>
            <w:r>
              <w:rPr>
                <w:sz w:val="17"/>
              </w:rPr>
            </w:r>
            <w:r>
              <w:rPr>
                <w:sz w:val="17"/>
              </w:rPr>
              <w:t>RUB 107.1 bn</w:t>
            </w:r>
          </w:p>
        </w:tc>
      </w:tr>
      <w:tr>
        <w:tc>
          <w:tcPr>
            <w:tcW w:type="dxa" w:w="4320"/>
          </w:tcPr>
          <w:p>
            <w:r>
              <w:rPr>
                <w:sz w:val="17"/>
              </w:rPr>
            </w:r>
            <w:r>
              <w:rPr>
                <w:sz w:val="17"/>
              </w:rPr>
              <w:t>2036 EBITDA margin</w:t>
            </w:r>
          </w:p>
        </w:tc>
        <w:tc>
          <w:tcPr>
            <w:tcW w:type="dxa" w:w="4320"/>
          </w:tcPr>
          <w:p>
            <w:r>
              <w:rPr>
                <w:sz w:val="17"/>
              </w:rPr>
            </w:r>
            <w:r>
              <w:rPr>
                <w:sz w:val="17"/>
              </w:rPr>
              <w:t>75.1%</w:t>
            </w:r>
          </w:p>
        </w:tc>
      </w:tr>
    </w:tbl>
    <w:p/>
    <w:p>
      <w:pPr>
        <w:pStyle w:val="Heading3"/>
      </w:pPr>
      <w:r>
        <w:t>9.2. Scenarios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Scenario</w:t>
            </w:r>
          </w:p>
        </w:tc>
        <w:tc>
          <w:tcPr>
            <w:tcW w:type="dxa" w:w="1728"/>
          </w:tcPr>
          <w:p>
            <w:r>
              <w:rPr>
                <w:b/>
                <w:sz w:val="17"/>
              </w:rPr>
            </w:r>
            <w:r>
              <w:rPr>
                <w:b/>
                <w:sz w:val="17"/>
              </w:rPr>
              <w:t>Market share year 10</w:t>
            </w:r>
          </w:p>
        </w:tc>
        <w:tc>
          <w:tcPr>
            <w:tcW w:type="dxa" w:w="1728"/>
          </w:tcPr>
          <w:p>
            <w:r>
              <w:rPr>
                <w:b/>
                <w:sz w:val="17"/>
              </w:rPr>
            </w:r>
            <w:r>
              <w:rPr>
                <w:b/>
                <w:sz w:val="17"/>
              </w:rPr>
              <w:t>Weight</w:t>
            </w:r>
          </w:p>
        </w:tc>
        <w:tc>
          <w:tcPr>
            <w:tcW w:type="dxa" w:w="1728"/>
          </w:tcPr>
          <w:p>
            <w:r>
              <w:rPr>
                <w:b/>
                <w:sz w:val="17"/>
              </w:rPr>
            </w:r>
            <w:r>
              <w:rPr>
                <w:b/>
                <w:sz w:val="17"/>
              </w:rPr>
              <w:t>Enterprise value, RUB bn</w:t>
            </w:r>
          </w:p>
        </w:tc>
        <w:tc>
          <w:tcPr>
            <w:tcW w:type="dxa" w:w="1728"/>
          </w:tcPr>
          <w:p>
            <w:r>
              <w:rPr>
                <w:b/>
                <w:sz w:val="17"/>
              </w:rPr>
            </w:r>
            <w:r>
              <w:rPr>
                <w:b/>
                <w:sz w:val="17"/>
              </w:rPr>
              <w:t>Payback, years</w:t>
            </w:r>
          </w:p>
        </w:tc>
      </w:tr>
      <w:tr>
        <w:tc>
          <w:tcPr>
            <w:tcW w:type="dxa" w:w="1728"/>
          </w:tcPr>
          <w:p>
            <w:r>
              <w:rPr>
                <w:sz w:val="17"/>
              </w:rPr>
            </w:r>
            <w:r>
              <w:rPr>
                <w:sz w:val="17"/>
              </w:rPr>
              <w:t>Conservative (Federal Law 259-FZ only)</w:t>
            </w:r>
          </w:p>
        </w:tc>
        <w:tc>
          <w:tcPr>
            <w:tcW w:type="dxa" w:w="1728"/>
          </w:tcPr>
          <w:p>
            <w:r>
              <w:rPr>
                <w:sz w:val="17"/>
              </w:rPr>
            </w:r>
            <w:r>
              <w:rPr>
                <w:sz w:val="17"/>
              </w:rPr>
              <w:t>7%</w:t>
            </w:r>
          </w:p>
        </w:tc>
        <w:tc>
          <w:tcPr>
            <w:tcW w:type="dxa" w:w="1728"/>
          </w:tcPr>
          <w:p>
            <w:r>
              <w:rPr>
                <w:sz w:val="17"/>
              </w:rPr>
            </w:r>
            <w:r>
              <w:rPr>
                <w:sz w:val="17"/>
              </w:rPr>
              <w:t>15%</w:t>
            </w:r>
          </w:p>
        </w:tc>
        <w:tc>
          <w:tcPr>
            <w:tcW w:type="dxa" w:w="1728"/>
          </w:tcPr>
          <w:p>
            <w:r>
              <w:rPr>
                <w:sz w:val="17"/>
              </w:rPr>
            </w:r>
            <w:r>
              <w:rPr>
                <w:sz w:val="17"/>
              </w:rPr>
              <w:t>20.1</w:t>
            </w:r>
          </w:p>
        </w:tc>
        <w:tc>
          <w:tcPr>
            <w:tcW w:type="dxa" w:w="1728"/>
          </w:tcPr>
          <w:p>
            <w:r>
              <w:rPr>
                <w:sz w:val="17"/>
              </w:rPr>
            </w:r>
            <w:r>
              <w:rPr>
                <w:sz w:val="17"/>
              </w:rPr>
              <w:t>3.94</w:t>
            </w:r>
          </w:p>
        </w:tc>
      </w:tr>
      <w:tr>
        <w:tc>
          <w:tcPr>
            <w:tcW w:type="dxa" w:w="1728"/>
          </w:tcPr>
          <w:p>
            <w:r>
              <w:rPr>
                <w:sz w:val="17"/>
              </w:rPr>
            </w:r>
            <w:r>
              <w:rPr>
                <w:b/>
                <w:sz w:val="17"/>
              </w:rPr>
              <w:t>Base</w:t>
            </w:r>
            <w:r>
              <w:rPr>
                <w:sz w:val="17"/>
              </w:rPr>
              <w:t xml:space="preserve"> (pilot 2028–2029)</w:t>
            </w:r>
          </w:p>
        </w:tc>
        <w:tc>
          <w:tcPr>
            <w:tcW w:type="dxa" w:w="1728"/>
          </w:tcPr>
          <w:p>
            <w:r>
              <w:rPr>
                <w:sz w:val="17"/>
              </w:rPr>
            </w:r>
            <w:r>
              <w:rPr>
                <w:b/>
                <w:sz w:val="17"/>
              </w:rPr>
              <w:t>18%</w:t>
            </w:r>
          </w:p>
        </w:tc>
        <w:tc>
          <w:tcPr>
            <w:tcW w:type="dxa" w:w="1728"/>
          </w:tcPr>
          <w:p>
            <w:r>
              <w:rPr>
                <w:sz w:val="17"/>
              </w:rPr>
            </w:r>
            <w:r>
              <w:rPr>
                <w:b/>
                <w:sz w:val="17"/>
              </w:rPr>
              <w:t>55%</w:t>
            </w:r>
          </w:p>
        </w:tc>
        <w:tc>
          <w:tcPr>
            <w:tcW w:type="dxa" w:w="1728"/>
          </w:tcPr>
          <w:p>
            <w:r>
              <w:rPr>
                <w:sz w:val="17"/>
              </w:rPr>
            </w:r>
            <w:r>
              <w:rPr>
                <w:b/>
                <w:sz w:val="17"/>
              </w:rPr>
              <w:t>63.0</w:t>
            </w:r>
          </w:p>
        </w:tc>
        <w:tc>
          <w:tcPr>
            <w:tcW w:type="dxa" w:w="1728"/>
          </w:tcPr>
          <w:p>
            <w:r>
              <w:rPr>
                <w:sz w:val="17"/>
              </w:rPr>
            </w:r>
            <w:r>
              <w:rPr>
                <w:b/>
                <w:sz w:val="17"/>
              </w:rPr>
              <w:t>2.73</w:t>
            </w:r>
          </w:p>
        </w:tc>
      </w:tr>
      <w:tr>
        <w:tc>
          <w:tcPr>
            <w:tcW w:type="dxa" w:w="1728"/>
          </w:tcPr>
          <w:p>
            <w:r>
              <w:rPr>
                <w:sz w:val="17"/>
              </w:rPr>
            </w:r>
            <w:r>
              <w:rPr>
                <w:sz w:val="17"/>
              </w:rPr>
              <w:t>Optimistic (regulatory package adopted)</w:t>
            </w:r>
          </w:p>
        </w:tc>
        <w:tc>
          <w:tcPr>
            <w:tcW w:type="dxa" w:w="1728"/>
          </w:tcPr>
          <w:p>
            <w:r>
              <w:rPr>
                <w:sz w:val="17"/>
              </w:rPr>
            </w:r>
            <w:r>
              <w:rPr>
                <w:sz w:val="17"/>
              </w:rPr>
              <w:t>25%</w:t>
            </w:r>
          </w:p>
        </w:tc>
        <w:tc>
          <w:tcPr>
            <w:tcW w:type="dxa" w:w="1728"/>
          </w:tcPr>
          <w:p>
            <w:r>
              <w:rPr>
                <w:sz w:val="17"/>
              </w:rPr>
            </w:r>
            <w:r>
              <w:rPr>
                <w:sz w:val="17"/>
              </w:rPr>
              <w:t>30%</w:t>
            </w:r>
          </w:p>
        </w:tc>
        <w:tc>
          <w:tcPr>
            <w:tcW w:type="dxa" w:w="1728"/>
          </w:tcPr>
          <w:p>
            <w:r>
              <w:rPr>
                <w:sz w:val="17"/>
              </w:rPr>
            </w:r>
            <w:r>
              <w:rPr>
                <w:sz w:val="17"/>
              </w:rPr>
              <w:t>90.2</w:t>
            </w:r>
          </w:p>
        </w:tc>
        <w:tc>
          <w:tcPr>
            <w:tcW w:type="dxa" w:w="1728"/>
          </w:tcPr>
          <w:p>
            <w:r>
              <w:rPr>
                <w:sz w:val="17"/>
              </w:rPr>
            </w:r>
            <w:r>
              <w:rPr>
                <w:sz w:val="17"/>
              </w:rPr>
              <w:t>2.38</w:t>
            </w:r>
          </w:p>
        </w:tc>
      </w:tr>
      <w:tr>
        <w:tc>
          <w:tcPr>
            <w:tcW w:type="dxa" w:w="1728"/>
          </w:tcPr>
          <w:p>
            <w:r>
              <w:rPr>
                <w:sz w:val="17"/>
              </w:rPr>
            </w:r>
            <w:r>
              <w:rPr>
                <w:b/>
                <w:sz w:val="17"/>
              </w:rPr>
              <w:t>Expected value</w:t>
            </w:r>
          </w:p>
        </w:tc>
        <w:tc>
          <w:tcPr>
            <w:tcW w:type="dxa" w:w="1728"/>
          </w:tcPr>
          <w:p>
            <w:r>
              <w:rPr>
                <w:sz w:val="17"/>
              </w:rPr>
            </w:r>
            <w:r>
              <w:rPr>
                <w:sz w:val="17"/>
              </w:rPr>
              <w:t>—</w:t>
            </w:r>
          </w:p>
        </w:tc>
        <w:tc>
          <w:tcPr>
            <w:tcW w:type="dxa" w:w="1728"/>
          </w:tcPr>
          <w:p>
            <w:r>
              <w:rPr>
                <w:sz w:val="17"/>
              </w:rPr>
            </w:r>
            <w:r>
              <w:rPr>
                <w:sz w:val="17"/>
              </w:rPr>
              <w:t>100%</w:t>
            </w:r>
          </w:p>
        </w:tc>
        <w:tc>
          <w:tcPr>
            <w:tcW w:type="dxa" w:w="1728"/>
          </w:tcPr>
          <w:p>
            <w:r>
              <w:rPr>
                <w:sz w:val="17"/>
              </w:rPr>
            </w:r>
            <w:r>
              <w:rPr>
                <w:b/>
                <w:sz w:val="17"/>
              </w:rPr>
              <w:t>64.7</w:t>
            </w:r>
          </w:p>
        </w:tc>
        <w:tc>
          <w:tcPr>
            <w:tcW w:type="dxa" w:w="1728"/>
          </w:tcPr>
          <w:p>
            <w:r>
              <w:rPr>
                <w:sz w:val="17"/>
              </w:rPr>
            </w:r>
            <w:r>
              <w:rPr>
                <w:sz w:val="17"/>
              </w:rPr>
              <w:t>—</w:t>
            </w:r>
          </w:p>
        </w:tc>
      </w:tr>
    </w:tbl>
    <w:p/>
    <w:p>
      <w:pPr>
        <w:jc w:val="both"/>
      </w:pPr>
      <w:r>
        <w:t>A full cash-flow series is built for every scenario; the scenarios differ only in the target market share in year ten.</w:t>
      </w:r>
    </w:p>
    <w:p>
      <w:pPr>
        <w:jc w:val="both"/>
      </w:pPr>
      <w:r>
        <w:rPr>
          <w:b/>
        </w:rPr>
        <w:t>On the internal rate of return.</w:t>
      </w:r>
      <w:r>
        <w:t xml:space="preserve"> On project cash flows it comes to 182% in the base scenario. This is not an advantage of the project but a sign that the model does not reflect the full cost of entering the market: the own funds of an information-system operator, reserves, the cost of acquiring pledgors. Negotiations should rest on enterprise value and on the investor calculation.</w:t>
      </w:r>
    </w:p>
    <w:p>
      <w:pPr>
        <w:jc w:val="both"/>
      </w:pPr>
      <w:r>
        <w:rPr>
          <w:b/>
        </w:rPr>
        <w:t>Investor calculation.</w:t>
      </w:r>
      <w:r>
        <w:t xml:space="preserve"> At a calculated entry value of USD 248M and a round of USD 25M the investor stake is 9.21%; on exit in 2033 the proceeds are RUB 33.1 bn, the return multiple 18.4× and the investor internal rate of return 51.6%. The calculation assumes the plan is delivered in full and is therefore an upper bound. The entry value itself requires a decision by the owner: the spread between valuation approaches is twelvefold, and the early-stage approaches give USD 20–35M against USD 352M on the income approach.</w:t>
      </w:r>
    </w:p>
    <w:p>
      <w:pPr>
        <w:jc w:val="both"/>
      </w:pPr>
      <w:r>
        <w:rPr>
          <w:b/>
        </w:rPr>
        <w:t>Launch delay is the principal risk to value.</w:t>
      </w:r>
      <w:r>
        <w:t xml:space="preserve"> Moving the first issue by one year reduces enterprise value from RUB 63.0 bn to RUB 46.4 bn and raises the financing requirement from RUB 1.70 bn to RUB 3.44 bn; a two-year slip gives RUB 32.5 bn and RUB 5.53 bn respectively.</w:t>
      </w:r>
    </w:p>
    <w:p>
      <w:pPr>
        <w:pStyle w:val="Heading3"/>
      </w:pPr>
      <w:r>
        <w:t>9.3. Funding requirement and use of proceeds</w:t>
      </w:r>
    </w:p>
    <w:p>
      <w:pPr>
        <w:jc w:val="both"/>
      </w:pPr>
      <w:r>
        <w:t>Starter requirement — RUB 1.8 bn over 24 months (2027–2028). The calculated peak requirement is RUB 1,701M; the remainder is a reserve.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Purpose</w:t>
            </w:r>
          </w:p>
        </w:tc>
        <w:tc>
          <w:tcPr>
            <w:tcW w:type="dxa" w:w="2880"/>
          </w:tcPr>
          <w:p>
            <w:r>
              <w:rPr>
                <w:b/>
                <w:sz w:val="17"/>
              </w:rPr>
            </w:r>
            <w:r>
              <w:rPr>
                <w:b/>
                <w:sz w:val="17"/>
              </w:rPr>
              <w:t>RUB mn</w:t>
            </w:r>
          </w:p>
        </w:tc>
        <w:tc>
          <w:tcPr>
            <w:tcW w:type="dxa" w:w="2880"/>
          </w:tcPr>
          <w:p>
            <w:r>
              <w:rPr>
                <w:b/>
                <w:sz w:val="17"/>
              </w:rPr>
            </w:r>
            <w:r>
              <w:rPr>
                <w:b/>
                <w:sz w:val="17"/>
              </w:rPr>
              <w:t>Share</w:t>
            </w:r>
          </w:p>
        </w:tc>
      </w:tr>
      <w:tr>
        <w:tc>
          <w:tcPr>
            <w:tcW w:type="dxa" w:w="2880"/>
          </w:tcPr>
          <w:p>
            <w:r>
              <w:rPr>
                <w:sz w:val="17"/>
              </w:rPr>
            </w:r>
            <w:r>
              <w:rPr>
                <w:sz w:val="17"/>
              </w:rPr>
              <w:t>Capital expenditure (platform, data centres, licences)</w:t>
            </w:r>
          </w:p>
        </w:tc>
        <w:tc>
          <w:tcPr>
            <w:tcW w:type="dxa" w:w="2880"/>
          </w:tcPr>
          <w:p>
            <w:r>
              <w:rPr>
                <w:sz w:val="17"/>
              </w:rPr>
            </w:r>
            <w:r>
              <w:rPr>
                <w:sz w:val="17"/>
              </w:rPr>
              <w:t>720</w:t>
            </w:r>
          </w:p>
        </w:tc>
        <w:tc>
          <w:tcPr>
            <w:tcW w:type="dxa" w:w="2880"/>
          </w:tcPr>
          <w:p>
            <w:r>
              <w:rPr>
                <w:sz w:val="17"/>
              </w:rPr>
            </w:r>
            <w:r>
              <w:rPr>
                <w:sz w:val="17"/>
              </w:rPr>
              <w:t>40.0%</w:t>
            </w:r>
          </w:p>
        </w:tc>
      </w:tr>
      <w:tr>
        <w:tc>
          <w:tcPr>
            <w:tcW w:type="dxa" w:w="2880"/>
          </w:tcPr>
          <w:p>
            <w:r>
              <w:rPr>
                <w:sz w:val="17"/>
              </w:rPr>
            </w:r>
            <w:r>
              <w:rPr>
                <w:sz w:val="17"/>
              </w:rPr>
              <w:t>Operating deficit 2027–2028 (costs less revenue)</w:t>
            </w:r>
          </w:p>
        </w:tc>
        <w:tc>
          <w:tcPr>
            <w:tcW w:type="dxa" w:w="2880"/>
          </w:tcPr>
          <w:p>
            <w:r>
              <w:rPr>
                <w:sz w:val="17"/>
              </w:rPr>
            </w:r>
            <w:r>
              <w:rPr>
                <w:sz w:val="17"/>
              </w:rPr>
              <w:t>915</w:t>
            </w:r>
          </w:p>
        </w:tc>
        <w:tc>
          <w:tcPr>
            <w:tcW w:type="dxa" w:w="2880"/>
          </w:tcPr>
          <w:p>
            <w:r>
              <w:rPr>
                <w:sz w:val="17"/>
              </w:rPr>
            </w:r>
            <w:r>
              <w:rPr>
                <w:sz w:val="17"/>
              </w:rPr>
              <w:t>50.8%</w:t>
            </w:r>
          </w:p>
        </w:tc>
      </w:tr>
      <w:tr>
        <w:tc>
          <w:tcPr>
            <w:tcW w:type="dxa" w:w="2880"/>
          </w:tcPr>
          <w:p>
            <w:r>
              <w:rPr>
                <w:sz w:val="17"/>
              </w:rPr>
            </w:r>
            <w:r>
              <w:rPr>
                <w:sz w:val="17"/>
              </w:rPr>
              <w:t>Working capital</w:t>
            </w:r>
          </w:p>
        </w:tc>
        <w:tc>
          <w:tcPr>
            <w:tcW w:type="dxa" w:w="2880"/>
          </w:tcPr>
          <w:p>
            <w:r>
              <w:rPr>
                <w:sz w:val="17"/>
              </w:rPr>
            </w:r>
            <w:r>
              <w:rPr>
                <w:sz w:val="17"/>
              </w:rPr>
              <w:t>65</w:t>
            </w:r>
          </w:p>
        </w:tc>
        <w:tc>
          <w:tcPr>
            <w:tcW w:type="dxa" w:w="2880"/>
          </w:tcPr>
          <w:p>
            <w:r>
              <w:rPr>
                <w:sz w:val="17"/>
              </w:rPr>
            </w:r>
            <w:r>
              <w:rPr>
                <w:sz w:val="17"/>
              </w:rPr>
              <w:t>3.6%</w:t>
            </w:r>
          </w:p>
        </w:tc>
      </w:tr>
      <w:tr>
        <w:tc>
          <w:tcPr>
            <w:tcW w:type="dxa" w:w="2880"/>
          </w:tcPr>
          <w:p>
            <w:r>
              <w:rPr>
                <w:sz w:val="17"/>
              </w:rPr>
            </w:r>
            <w:r>
              <w:rPr>
                <w:sz w:val="17"/>
              </w:rPr>
              <w:t>Contingency reserve</w:t>
            </w:r>
          </w:p>
        </w:tc>
        <w:tc>
          <w:tcPr>
            <w:tcW w:type="dxa" w:w="2880"/>
          </w:tcPr>
          <w:p>
            <w:r>
              <w:rPr>
                <w:sz w:val="17"/>
              </w:rPr>
            </w:r>
            <w:r>
              <w:rPr>
                <w:sz w:val="17"/>
              </w:rPr>
              <w:t>100</w:t>
            </w:r>
          </w:p>
        </w:tc>
        <w:tc>
          <w:tcPr>
            <w:tcW w:type="dxa" w:w="2880"/>
          </w:tcPr>
          <w:p>
            <w:r>
              <w:rPr>
                <w:sz w:val="17"/>
              </w:rPr>
            </w:r>
            <w:r>
              <w:rPr>
                <w:sz w:val="17"/>
              </w:rPr>
              <w:t>5.6%</w:t>
            </w:r>
          </w:p>
        </w:tc>
      </w:tr>
      <w:tr>
        <w:tc>
          <w:tcPr>
            <w:tcW w:type="dxa" w:w="2880"/>
          </w:tcPr>
          <w:p>
            <w:r>
              <w:rPr>
                <w:sz w:val="17"/>
              </w:rPr>
            </w:r>
            <w:r>
              <w:rPr>
                <w:b/>
                <w:sz w:val="17"/>
              </w:rPr>
              <w:t>TOTAL</w:t>
            </w:r>
          </w:p>
        </w:tc>
        <w:tc>
          <w:tcPr>
            <w:tcW w:type="dxa" w:w="2880"/>
          </w:tcPr>
          <w:p>
            <w:r>
              <w:rPr>
                <w:sz w:val="17"/>
              </w:rPr>
            </w:r>
            <w:r>
              <w:rPr>
                <w:b/>
                <w:sz w:val="17"/>
              </w:rPr>
              <w:t>1,800</w:t>
            </w:r>
          </w:p>
        </w:tc>
        <w:tc>
          <w:tcPr>
            <w:tcW w:type="dxa" w:w="2880"/>
          </w:tcPr>
          <w:p>
            <w:r>
              <w:rPr>
                <w:sz w:val="17"/>
              </w:rPr>
            </w:r>
            <w:r>
              <w:rPr>
                <w:b/>
                <w:sz w:val="17"/>
              </w:rPr>
              <w:t>100%</w:t>
            </w:r>
          </w:p>
        </w:tc>
      </w:tr>
    </w:tbl>
    <w:p/>
    <w:p>
      <w:pPr>
        <w:jc w:val="both"/>
      </w:pPr>
      <w:r>
        <w:t>Source structure:</w:t>
      </w:r>
    </w:p>
    <w:p>
      <w:pPr>
        <w:pStyle w:val="ListBullet"/>
      </w:pPr>
      <w:r>
        <w:t>Equity from a strategic investor and/or a development state corporation — 70–100%.</w:t>
      </w:r>
    </w:p>
    <w:p>
      <w:pPr>
        <w:pStyle w:val="ListBullet"/>
      </w:pPr>
      <w:r>
        <w:t>Debt financing — 0–30% (after confirmation of the regulatory status).</w:t>
      </w:r>
    </w:p>
    <w:p>
      <w:pPr>
        <w:pStyle w:val="Heading3"/>
      </w:pPr>
      <w:r>
        <w:t>9.4. Investor exit strategy</w:t>
      </w:r>
    </w:p>
    <w:p>
      <w:pPr>
        <w:jc w:val="both"/>
      </w:pPr>
      <w:r>
        <w:t>Options on a 5–10-year horizon:</w:t>
      </w:r>
    </w:p>
    <w:p>
      <w:pPr>
        <w:pStyle w:val="ListNumber"/>
      </w:pPr>
      <w:r>
        <w:rPr>
          <w:b/>
        </w:rPr>
        <w:t>IPO</w:t>
      </w:r>
      <w:r>
        <w:t xml:space="preserve"> — listing on the Moscow Exchange after reaching sustainable profitability (potentially from 2030–2031).</w:t>
      </w:r>
    </w:p>
    <w:p>
      <w:pPr>
        <w:pStyle w:val="ListNumber"/>
      </w:pPr>
      <w:r>
        <w:rPr>
          <w:b/>
        </w:rPr>
        <w:t>Strategic sale</w:t>
      </w:r>
      <w:r>
        <w:t xml:space="preserve"> — acquisition of the package by a large financial group or a state corporation.</w:t>
      </w:r>
    </w:p>
    <w:p>
      <w:pPr>
        <w:pStyle w:val="ListNumber"/>
      </w:pPr>
      <w:r>
        <w:rPr>
          <w:b/>
        </w:rPr>
        <w:t>Buy-back</w:t>
      </w:r>
      <w:r>
        <w:t xml:space="preserve"> — the company buys back the investor's stake from the dividend stream.</w:t>
      </w:r>
    </w:p>
    <w:p>
      <w:pPr>
        <w:pStyle w:val="ListNumber"/>
      </w:pPr>
      <w:r>
        <w:rPr>
          <w:b/>
        </w:rPr>
        <w:t>Dividend strategy</w:t>
      </w:r>
      <w:r>
        <w:t xml:space="preserve"> — payment of 30–50% of net profit from 2028, with indefinite share retention (for strategic investors).</w:t>
      </w:r>
    </w:p>
    <w:p>
      <w:pPr>
        <w:pStyle w:val="Heading2"/>
      </w:pPr>
      <w:r>
        <w:t>10. Risk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Category</w:t>
            </w:r>
          </w:p>
        </w:tc>
        <w:tc>
          <w:tcPr>
            <w:tcW w:type="dxa" w:w="1728"/>
          </w:tcPr>
          <w:p>
            <w:r>
              <w:rPr>
                <w:b/>
                <w:sz w:val="17"/>
              </w:rPr>
            </w:r>
            <w:r>
              <w:rPr>
                <w:b/>
                <w:sz w:val="17"/>
              </w:rPr>
              <w:t>Description</w:t>
            </w:r>
          </w:p>
        </w:tc>
        <w:tc>
          <w:tcPr>
            <w:tcW w:type="dxa" w:w="1728"/>
          </w:tcPr>
          <w:p>
            <w:r>
              <w:rPr>
                <w:b/>
                <w:sz w:val="17"/>
              </w:rPr>
            </w:r>
            <w:r>
              <w:rPr>
                <w:b/>
                <w:sz w:val="17"/>
              </w:rPr>
              <w:t>Probability</w:t>
            </w:r>
          </w:p>
        </w:tc>
        <w:tc>
          <w:tcPr>
            <w:tcW w:type="dxa" w:w="1728"/>
          </w:tcPr>
          <w:p>
            <w:r>
              <w:rPr>
                <w:b/>
                <w:sz w:val="17"/>
              </w:rPr>
            </w:r>
            <w:r>
              <w:rPr>
                <w:b/>
                <w:sz w:val="17"/>
              </w:rPr>
              <w:t>Impact</w:t>
            </w:r>
          </w:p>
        </w:tc>
        <w:tc>
          <w:tcPr>
            <w:tcW w:type="dxa" w:w="1728"/>
          </w:tcPr>
          <w:p>
            <w:r>
              <w:rPr>
                <w:b/>
                <w:sz w:val="17"/>
              </w:rPr>
            </w:r>
            <w:r>
              <w:rPr>
                <w:b/>
                <w:sz w:val="17"/>
              </w:rPr>
              <w:t>Mitigation</w:t>
            </w:r>
          </w:p>
        </w:tc>
      </w:tr>
      <w:tr>
        <w:tc>
          <w:tcPr>
            <w:tcW w:type="dxa" w:w="1728"/>
          </w:tcPr>
          <w:p>
            <w:r>
              <w:rPr>
                <w:sz w:val="17"/>
              </w:rPr>
            </w:r>
            <w:r>
              <w:rPr>
                <w:b/>
                <w:sz w:val="17"/>
              </w:rPr>
              <w:t>Legal Stage 1</w:t>
            </w:r>
          </w:p>
        </w:tc>
        <w:tc>
          <w:tcPr>
            <w:tcW w:type="dxa" w:w="1728"/>
          </w:tcPr>
          <w:p>
            <w:r>
              <w:rPr>
                <w:sz w:val="17"/>
              </w:rPr>
            </w:r>
            <w:r>
              <w:rPr>
                <w:sz w:val="17"/>
              </w:rPr>
              <w:t>Obstacles to approval of the operator's rules under Article 6 of 259-FZ or under CBR Directive No. 4336-U</w:t>
            </w:r>
          </w:p>
        </w:tc>
        <w:tc>
          <w:tcPr>
            <w:tcW w:type="dxa" w:w="1728"/>
          </w:tcPr>
          <w:p>
            <w:r>
              <w:rPr>
                <w:sz w:val="17"/>
              </w:rPr>
            </w:r>
            <w:r>
              <w:rPr>
                <w:sz w:val="17"/>
              </w:rPr>
              <w:t>Low</w:t>
            </w:r>
          </w:p>
        </w:tc>
        <w:tc>
          <w:tcPr>
            <w:tcW w:type="dxa" w:w="1728"/>
          </w:tcPr>
          <w:p>
            <w:r>
              <w:rPr>
                <w:sz w:val="17"/>
              </w:rPr>
            </w:r>
            <w:r>
              <w:rPr>
                <w:sz w:val="17"/>
              </w:rPr>
              <w:t>Material</w:t>
            </w:r>
          </w:p>
        </w:tc>
        <w:tc>
          <w:tcPr>
            <w:tcW w:type="dxa" w:w="1728"/>
          </w:tcPr>
          <w:p>
            <w:r>
              <w:rPr>
                <w:sz w:val="17"/>
              </w:rPr>
            </w:r>
            <w:r>
              <w:rPr>
                <w:sz w:val="17"/>
              </w:rPr>
              <w:t>Technology partnership with an incumbent IS DFA operator under 779-P: the licence is non-transferable, CPFSR works as a front-end / agent. Approvals with the CBR concern only the rules of the partner's information system, not the licence perimeter</w:t>
            </w:r>
          </w:p>
        </w:tc>
      </w:tr>
      <w:tr>
        <w:tc>
          <w:tcPr>
            <w:tcW w:type="dxa" w:w="1728"/>
          </w:tcPr>
          <w:p>
            <w:r>
              <w:rPr>
                <w:sz w:val="17"/>
              </w:rPr>
            </w:r>
            <w:r>
              <w:rPr>
                <w:b/>
                <w:sz w:val="17"/>
              </w:rPr>
              <w:t>Legal Stage 2</w:t>
            </w:r>
          </w:p>
        </w:tc>
        <w:tc>
          <w:tcPr>
            <w:tcW w:type="dxa" w:w="1728"/>
          </w:tcPr>
          <w:p>
            <w:r>
              <w:rPr>
                <w:sz w:val="17"/>
              </w:rPr>
            </w:r>
            <w:r>
              <w:rPr>
                <w:sz w:val="17"/>
              </w:rPr>
              <w:t>The package of four federal-law amendments (86-FZ, 259-FZ, Budget Code, Civil Code) is not adopted on the 2029+ horizon</w:t>
            </w:r>
          </w:p>
        </w:tc>
        <w:tc>
          <w:tcPr>
            <w:tcW w:type="dxa" w:w="1728"/>
          </w:tcPr>
          <w:p>
            <w:r>
              <w:rPr>
                <w:sz w:val="17"/>
              </w:rPr>
            </w:r>
            <w:r>
              <w:rPr>
                <w:sz w:val="17"/>
              </w:rPr>
              <w:t>Medium</w:t>
            </w:r>
          </w:p>
        </w:tc>
        <w:tc>
          <w:tcPr>
            <w:tcW w:type="dxa" w:w="1728"/>
          </w:tcPr>
          <w:p>
            <w:r>
              <w:rPr>
                <w:sz w:val="17"/>
              </w:rPr>
            </w:r>
            <w:r>
              <w:rPr>
                <w:sz w:val="17"/>
              </w:rPr>
              <w:t>Material (Stage 2 only)</w:t>
            </w:r>
          </w:p>
        </w:tc>
        <w:tc>
          <w:tcPr>
            <w:tcW w:type="dxa" w:w="1728"/>
          </w:tcPr>
          <w:p>
            <w:r>
              <w:rPr>
                <w:sz w:val="17"/>
              </w:rPr>
            </w:r>
            <w:r>
              <w:rPr>
                <w:sz w:val="17"/>
              </w:rPr>
              <w:t>Stage 2 is not part of the near-term investment roadmap; it is delivered after a positive Stage 1 track record of ≥ 12 months and an inter-agency position. Stage 1 is defensible without Stage 2</w:t>
            </w:r>
          </w:p>
        </w:tc>
      </w:tr>
      <w:tr>
        <w:tc>
          <w:tcPr>
            <w:tcW w:type="dxa" w:w="1728"/>
          </w:tcPr>
          <w:p>
            <w:r>
              <w:rPr>
                <w:sz w:val="17"/>
              </w:rPr>
            </w:r>
            <w:r>
              <w:rPr>
                <w:b/>
                <w:sz w:val="17"/>
              </w:rPr>
              <w:t>Regulatory</w:t>
            </w:r>
          </w:p>
        </w:tc>
        <w:tc>
          <w:tcPr>
            <w:tcW w:type="dxa" w:w="1728"/>
          </w:tcPr>
          <w:p>
            <w:r>
              <w:rPr>
                <w:sz w:val="17"/>
              </w:rPr>
            </w:r>
            <w:r>
              <w:rPr>
                <w:sz w:val="17"/>
              </w:rPr>
              <w:t>Obstacles to including the technology partner in the 779-P register or suspension of the partner's licence</w:t>
            </w:r>
          </w:p>
        </w:tc>
        <w:tc>
          <w:tcPr>
            <w:tcW w:type="dxa" w:w="1728"/>
          </w:tcPr>
          <w:p>
            <w:r>
              <w:rPr>
                <w:sz w:val="17"/>
              </w:rPr>
            </w:r>
            <w:r>
              <w:rPr>
                <w:sz w:val="17"/>
              </w:rPr>
              <w:t>Low</w:t>
            </w:r>
          </w:p>
        </w:tc>
        <w:tc>
          <w:tcPr>
            <w:tcW w:type="dxa" w:w="1728"/>
          </w:tcPr>
          <w:p>
            <w:r>
              <w:rPr>
                <w:sz w:val="17"/>
              </w:rPr>
            </w:r>
            <w:r>
              <w:rPr>
                <w:sz w:val="17"/>
              </w:rPr>
              <w:t>Material</w:t>
            </w:r>
          </w:p>
        </w:tc>
        <w:tc>
          <w:tcPr>
            <w:tcW w:type="dxa" w:w="1728"/>
          </w:tcPr>
          <w:p>
            <w:r>
              <w:rPr>
                <w:sz w:val="17"/>
              </w:rPr>
            </w:r>
            <w:r>
              <w:rPr>
                <w:sz w:val="17"/>
              </w:rPr>
              <w:t>A multi-partner pool (Atomyze, Sber CFA, Alfa CFA, Masterchain); filing of our own 779-P application as a parallel track after T+12 months of the wedge-pilot</w:t>
            </w:r>
          </w:p>
        </w:tc>
      </w:tr>
      <w:tr>
        <w:tc>
          <w:tcPr>
            <w:tcW w:type="dxa" w:w="1728"/>
          </w:tcPr>
          <w:p>
            <w:r>
              <w:rPr>
                <w:sz w:val="17"/>
              </w:rPr>
            </w:r>
            <w:r>
              <w:rPr>
                <w:b/>
                <w:sz w:val="17"/>
              </w:rPr>
              <w:t>Market</w:t>
            </w:r>
          </w:p>
        </w:tc>
        <w:tc>
          <w:tcPr>
            <w:tcW w:type="dxa" w:w="1728"/>
          </w:tcPr>
          <w:p>
            <w:r>
              <w:rPr>
                <w:sz w:val="17"/>
              </w:rPr>
            </w:r>
            <w:r>
              <w:rPr>
                <w:sz w:val="17"/>
              </w:rPr>
              <w:t>Low penetration — owners do not trust the new instrument</w:t>
            </w:r>
          </w:p>
        </w:tc>
        <w:tc>
          <w:tcPr>
            <w:tcW w:type="dxa" w:w="1728"/>
          </w:tcPr>
          <w:p>
            <w:r>
              <w:rPr>
                <w:sz w:val="17"/>
              </w:rPr>
            </w:r>
            <w:r>
              <w:rPr>
                <w:sz w:val="17"/>
              </w:rPr>
              <w:t>Medium</w:t>
            </w:r>
          </w:p>
        </w:tc>
        <w:tc>
          <w:tcPr>
            <w:tcW w:type="dxa" w:w="1728"/>
          </w:tcPr>
          <w:p>
            <w:r>
              <w:rPr>
                <w:sz w:val="17"/>
              </w:rPr>
            </w:r>
            <w:r>
              <w:rPr>
                <w:sz w:val="17"/>
              </w:rPr>
              <w:t>Material</w:t>
            </w:r>
          </w:p>
        </w:tc>
        <w:tc>
          <w:tcPr>
            <w:tcW w:type="dxa" w:w="1728"/>
          </w:tcPr>
          <w:p>
            <w:r>
              <w:rPr>
                <w:sz w:val="17"/>
              </w:rPr>
            </w:r>
            <w:r>
              <w:rPr>
                <w:sz w:val="17"/>
              </w:rPr>
              <w:t>Start with state programmes and large owners (B2B/B2G) to form reference cases; broad educational campaign; integration into banking apps to lower the entry threshold</w:t>
            </w:r>
          </w:p>
        </w:tc>
      </w:tr>
      <w:tr>
        <w:tc>
          <w:tcPr>
            <w:tcW w:type="dxa" w:w="1728"/>
          </w:tcPr>
          <w:p>
            <w:r>
              <w:rPr>
                <w:sz w:val="17"/>
              </w:rPr>
            </w:r>
            <w:r>
              <w:rPr>
                <w:b/>
                <w:sz w:val="17"/>
              </w:rPr>
              <w:t>Technology</w:t>
            </w:r>
          </w:p>
        </w:tc>
        <w:tc>
          <w:tcPr>
            <w:tcW w:type="dxa" w:w="1728"/>
          </w:tcPr>
          <w:p>
            <w:r>
              <w:rPr>
                <w:sz w:val="17"/>
              </w:rPr>
            </w:r>
            <w:r>
              <w:rPr>
                <w:sz w:val="17"/>
              </w:rPr>
              <w:t>Platform failure, data loss, cyber-attack</w:t>
            </w:r>
          </w:p>
        </w:tc>
        <w:tc>
          <w:tcPr>
            <w:tcW w:type="dxa" w:w="1728"/>
          </w:tcPr>
          <w:p>
            <w:r>
              <w:rPr>
                <w:sz w:val="17"/>
              </w:rPr>
            </w:r>
            <w:r>
              <w:rPr>
                <w:sz w:val="17"/>
              </w:rPr>
              <w:t>Low</w:t>
            </w:r>
          </w:p>
        </w:tc>
        <w:tc>
          <w:tcPr>
            <w:tcW w:type="dxa" w:w="1728"/>
          </w:tcPr>
          <w:p>
            <w:r>
              <w:rPr>
                <w:sz w:val="17"/>
              </w:rPr>
            </w:r>
            <w:r>
              <w:rPr>
                <w:sz w:val="17"/>
              </w:rPr>
              <w:t>Material</w:t>
            </w:r>
          </w:p>
        </w:tc>
        <w:tc>
          <w:tcPr>
            <w:tcW w:type="dxa" w:w="1728"/>
          </w:tcPr>
          <w:p>
            <w:r>
              <w:rPr>
                <w:sz w:val="17"/>
              </w:rPr>
            </w:r>
            <w:r>
              <w:rPr>
                <w:sz w:val="17"/>
              </w:rPr>
              <w:t>Two active data centres with geo-replication; daily backup with restoration testing; FSB-certified crypto modules; continuous pentesting; 24/7 SOC</w:t>
            </w:r>
          </w:p>
        </w:tc>
      </w:tr>
      <w:tr>
        <w:tc>
          <w:tcPr>
            <w:tcW w:type="dxa" w:w="1728"/>
          </w:tcPr>
          <w:p>
            <w:r>
              <w:rPr>
                <w:sz w:val="17"/>
              </w:rPr>
            </w:r>
            <w:r>
              <w:rPr>
                <w:b/>
                <w:sz w:val="17"/>
              </w:rPr>
              <w:t>Operational</w:t>
            </w:r>
          </w:p>
        </w:tc>
        <w:tc>
          <w:tcPr>
            <w:tcW w:type="dxa" w:w="1728"/>
          </w:tcPr>
          <w:p>
            <w:r>
              <w:rPr>
                <w:sz w:val="17"/>
              </w:rPr>
            </w:r>
            <w:r>
              <w:rPr>
                <w:sz w:val="17"/>
              </w:rPr>
              <w:t>Collateral valuation errors, disputes with owners</w:t>
            </w:r>
          </w:p>
        </w:tc>
        <w:tc>
          <w:tcPr>
            <w:tcW w:type="dxa" w:w="1728"/>
          </w:tcPr>
          <w:p>
            <w:r>
              <w:rPr>
                <w:sz w:val="17"/>
              </w:rPr>
            </w:r>
            <w:r>
              <w:rPr>
                <w:sz w:val="17"/>
              </w:rPr>
              <w:t>Medium</w:t>
            </w:r>
          </w:p>
        </w:tc>
        <w:tc>
          <w:tcPr>
            <w:tcW w:type="dxa" w:w="1728"/>
          </w:tcPr>
          <w:p>
            <w:r>
              <w:rPr>
                <w:sz w:val="17"/>
              </w:rPr>
            </w:r>
            <w:r>
              <w:rPr>
                <w:sz w:val="17"/>
              </w:rPr>
              <w:t>Moderate</w:t>
            </w:r>
          </w:p>
        </w:tc>
        <w:tc>
          <w:tcPr>
            <w:tcW w:type="dxa" w:w="1728"/>
          </w:tcPr>
          <w:p>
            <w:r>
              <w:rPr>
                <w:sz w:val="17"/>
              </w:rPr>
            </w:r>
            <w:r>
              <w:rPr>
                <w:sz w:val="17"/>
              </w:rPr>
              <w:t>Multi-level valuation (mass + desk + independent appraiser), liability insurance, transparent regulations, pre-litigation arbitration</w:t>
            </w:r>
          </w:p>
        </w:tc>
      </w:tr>
      <w:tr>
        <w:tc>
          <w:tcPr>
            <w:tcW w:type="dxa" w:w="1728"/>
          </w:tcPr>
          <w:p>
            <w:r>
              <w:rPr>
                <w:sz w:val="17"/>
              </w:rPr>
            </w:r>
            <w:r>
              <w:rPr>
                <w:b/>
                <w:sz w:val="17"/>
              </w:rPr>
              <w:t>Reputational</w:t>
            </w:r>
          </w:p>
        </w:tc>
        <w:tc>
          <w:tcPr>
            <w:tcW w:type="dxa" w:w="1728"/>
          </w:tcPr>
          <w:p>
            <w:r>
              <w:rPr>
                <w:sz w:val="17"/>
              </w:rPr>
            </w:r>
            <w:r>
              <w:rPr>
                <w:sz w:val="17"/>
              </w:rPr>
              <w:t>A high-profile incident (client funds loss, corruption scandal)</w:t>
            </w:r>
          </w:p>
        </w:tc>
        <w:tc>
          <w:tcPr>
            <w:tcW w:type="dxa" w:w="1728"/>
          </w:tcPr>
          <w:p>
            <w:r>
              <w:rPr>
                <w:sz w:val="17"/>
              </w:rPr>
            </w:r>
            <w:r>
              <w:rPr>
                <w:sz w:val="17"/>
              </w:rPr>
              <w:t>Low</w:t>
            </w:r>
          </w:p>
        </w:tc>
        <w:tc>
          <w:tcPr>
            <w:tcW w:type="dxa" w:w="1728"/>
          </w:tcPr>
          <w:p>
            <w:r>
              <w:rPr>
                <w:sz w:val="17"/>
              </w:rPr>
            </w:r>
            <w:r>
              <w:rPr>
                <w:sz w:val="17"/>
              </w:rPr>
              <w:t>Critical</w:t>
            </w:r>
          </w:p>
        </w:tc>
        <w:tc>
          <w:tcPr>
            <w:tcW w:type="dxa" w:w="1728"/>
          </w:tcPr>
          <w:p>
            <w:r>
              <w:rPr>
                <w:sz w:val="17"/>
              </w:rPr>
            </w:r>
            <w:r>
              <w:rPr>
                <w:sz w:val="17"/>
              </w:rPr>
              <w:t>Strict compliance, an anti-corruption policy, transparent reporting, regular external audit, crisis-communications PR strategy</w:t>
            </w:r>
          </w:p>
        </w:tc>
      </w:tr>
      <w:tr>
        <w:tc>
          <w:tcPr>
            <w:tcW w:type="dxa" w:w="1728"/>
          </w:tcPr>
          <w:p>
            <w:r>
              <w:rPr>
                <w:sz w:val="17"/>
              </w:rPr>
            </w:r>
            <w:r>
              <w:rPr>
                <w:b/>
                <w:sz w:val="17"/>
              </w:rPr>
              <w:t>Macroeconomic</w:t>
            </w:r>
          </w:p>
        </w:tc>
        <w:tc>
          <w:tcPr>
            <w:tcW w:type="dxa" w:w="1728"/>
          </w:tcPr>
          <w:p>
            <w:r>
              <w:rPr>
                <w:sz w:val="17"/>
              </w:rPr>
            </w:r>
            <w:r>
              <w:rPr>
                <w:sz w:val="17"/>
              </w:rPr>
              <w:t>Sharp rise in the key rate, real-estate market crash</w:t>
            </w:r>
          </w:p>
        </w:tc>
        <w:tc>
          <w:tcPr>
            <w:tcW w:type="dxa" w:w="1728"/>
          </w:tcPr>
          <w:p>
            <w:r>
              <w:rPr>
                <w:sz w:val="17"/>
              </w:rPr>
            </w:r>
            <w:r>
              <w:rPr>
                <w:sz w:val="17"/>
              </w:rPr>
              <w:t>Medium</w:t>
            </w:r>
          </w:p>
        </w:tc>
        <w:tc>
          <w:tcPr>
            <w:tcW w:type="dxa" w:w="1728"/>
          </w:tcPr>
          <w:p>
            <w:r>
              <w:rPr>
                <w:sz w:val="17"/>
              </w:rPr>
            </w:r>
            <w:r>
              <w:rPr>
                <w:sz w:val="17"/>
              </w:rPr>
              <w:t>Material</w:t>
            </w:r>
          </w:p>
        </w:tc>
        <w:tc>
          <w:tcPr>
            <w:tcW w:type="dxa" w:w="1728"/>
          </w:tcPr>
          <w:p>
            <w:r>
              <w:rPr>
                <w:sz w:val="17"/>
              </w:rPr>
            </w:r>
            <w:r>
              <w:rPr>
                <w:sz w:val="17"/>
              </w:rPr>
              <w:t>A flexible pricing model (key-rate-linked), conservative LTV standards (50% base, up to 70% maximum), quarterly stress tests</w:t>
            </w:r>
          </w:p>
        </w:tc>
      </w:tr>
      <w:tr>
        <w:tc>
          <w:tcPr>
            <w:tcW w:type="dxa" w:w="1728"/>
          </w:tcPr>
          <w:p>
            <w:r>
              <w:rPr>
                <w:sz w:val="17"/>
              </w:rPr>
            </w:r>
            <w:r>
              <w:rPr>
                <w:b/>
                <w:sz w:val="17"/>
              </w:rPr>
              <w:t>Competitive</w:t>
            </w:r>
          </w:p>
        </w:tc>
        <w:tc>
          <w:tcPr>
            <w:tcW w:type="dxa" w:w="1728"/>
          </w:tcPr>
          <w:p>
            <w:r>
              <w:rPr>
                <w:sz w:val="17"/>
              </w:rPr>
            </w:r>
            <w:r>
              <w:rPr>
                <w:sz w:val="17"/>
              </w:rPr>
              <w:t>A second operator appears in the same category</w:t>
            </w:r>
          </w:p>
        </w:tc>
        <w:tc>
          <w:tcPr>
            <w:tcW w:type="dxa" w:w="1728"/>
          </w:tcPr>
          <w:p>
            <w:r>
              <w:rPr>
                <w:sz w:val="17"/>
              </w:rPr>
            </w:r>
            <w:r>
              <w:rPr>
                <w:sz w:val="17"/>
              </w:rPr>
              <w:t>Low (up to 5 years), Medium (after)</w:t>
            </w:r>
          </w:p>
        </w:tc>
        <w:tc>
          <w:tcPr>
            <w:tcW w:type="dxa" w:w="1728"/>
          </w:tcPr>
          <w:p>
            <w:r>
              <w:rPr>
                <w:sz w:val="17"/>
              </w:rPr>
            </w:r>
            <w:r>
              <w:rPr>
                <w:sz w:val="17"/>
              </w:rPr>
              <w:t>Moderate</w:t>
            </w:r>
          </w:p>
        </w:tc>
        <w:tc>
          <w:tcPr>
            <w:tcW w:type="dxa" w:w="1728"/>
          </w:tcPr>
          <w:p>
            <w:r>
              <w:rPr>
                <w:sz w:val="17"/>
              </w:rPr>
            </w:r>
            <w:r>
              <w:rPr>
                <w:sz w:val="17"/>
              </w:rPr>
              <w:t>Deep integration with the regulator and partners as a natural moat; rapid scaling in the first 3–5 years; know-how protection</w:t>
            </w:r>
          </w:p>
        </w:tc>
      </w:tr>
      <w:tr>
        <w:tc>
          <w:tcPr>
            <w:tcW w:type="dxa" w:w="1728"/>
          </w:tcPr>
          <w:p>
            <w:r>
              <w:rPr>
                <w:sz w:val="17"/>
              </w:rPr>
            </w:r>
            <w:r>
              <w:rPr>
                <w:b/>
                <w:sz w:val="17"/>
              </w:rPr>
              <w:t>HR</w:t>
            </w:r>
          </w:p>
        </w:tc>
        <w:tc>
          <w:tcPr>
            <w:tcW w:type="dxa" w:w="1728"/>
          </w:tcPr>
          <w:p>
            <w:r>
              <w:rPr>
                <w:sz w:val="17"/>
              </w:rPr>
            </w:r>
            <w:r>
              <w:rPr>
                <w:sz w:val="17"/>
              </w:rPr>
              <w:t>Shortage of qualified fintech specialists</w:t>
            </w:r>
          </w:p>
        </w:tc>
        <w:tc>
          <w:tcPr>
            <w:tcW w:type="dxa" w:w="1728"/>
          </w:tcPr>
          <w:p>
            <w:r>
              <w:rPr>
                <w:sz w:val="17"/>
              </w:rPr>
            </w:r>
            <w:r>
              <w:rPr>
                <w:sz w:val="17"/>
              </w:rPr>
              <w:t>Medium</w:t>
            </w:r>
          </w:p>
        </w:tc>
        <w:tc>
          <w:tcPr>
            <w:tcW w:type="dxa" w:w="1728"/>
          </w:tcPr>
          <w:p>
            <w:r>
              <w:rPr>
                <w:sz w:val="17"/>
              </w:rPr>
            </w:r>
            <w:r>
              <w:rPr>
                <w:sz w:val="17"/>
              </w:rPr>
              <w:t>Moderate</w:t>
            </w:r>
          </w:p>
        </w:tc>
        <w:tc>
          <w:tcPr>
            <w:tcW w:type="dxa" w:w="1728"/>
          </w:tcPr>
          <w:p>
            <w:r>
              <w:rPr>
                <w:sz w:val="17"/>
              </w:rPr>
            </w:r>
            <w:r>
              <w:rPr>
                <w:sz w:val="17"/>
              </w:rPr>
              <w:t>An option programme, competitive compensation, a corporate R&amp;D programme with leading universities, remote work in the regions</w:t>
            </w:r>
          </w:p>
        </w:tc>
      </w:tr>
      <w:tr>
        <w:tc>
          <w:tcPr>
            <w:tcW w:type="dxa" w:w="1728"/>
          </w:tcPr>
          <w:p>
            <w:r>
              <w:rPr>
                <w:sz w:val="17"/>
              </w:rPr>
            </w:r>
            <w:r>
              <w:rPr>
                <w:b/>
                <w:sz w:val="17"/>
              </w:rPr>
              <w:t>Cannibalisation by the digital ruble (340-FZ)</w:t>
            </w:r>
          </w:p>
        </w:tc>
        <w:tc>
          <w:tcPr>
            <w:tcW w:type="dxa" w:w="1728"/>
          </w:tcPr>
          <w:p>
            <w:r>
              <w:rPr>
                <w:sz w:val="17"/>
              </w:rPr>
            </w:r>
            <w:r>
              <w:rPr>
                <w:sz w:val="17"/>
              </w:rPr>
              <w:t>The CBR launches a targeted digital-ruble emission programme without an intermediary, or integrates pledge DFA into the digital-ruble platform via Article 30.6 of 86-FZ</w:t>
            </w:r>
          </w:p>
        </w:tc>
        <w:tc>
          <w:tcPr>
            <w:tcW w:type="dxa" w:w="1728"/>
          </w:tcPr>
          <w:p>
            <w:r>
              <w:rPr>
                <w:sz w:val="17"/>
              </w:rPr>
            </w:r>
            <w:r>
              <w:rPr>
                <w:sz w:val="17"/>
              </w:rPr>
              <w:t>Medium (15–35%)</w:t>
            </w:r>
          </w:p>
        </w:tc>
        <w:tc>
          <w:tcPr>
            <w:tcW w:type="dxa" w:w="1728"/>
          </w:tcPr>
          <w:p>
            <w:r>
              <w:rPr>
                <w:sz w:val="17"/>
              </w:rPr>
            </w:r>
            <w:r>
              <w:rPr>
                <w:sz w:val="17"/>
              </w:rPr>
              <w:t>Material</w:t>
            </w:r>
          </w:p>
        </w:tc>
        <w:tc>
          <w:tcPr>
            <w:tcW w:type="dxa" w:w="1728"/>
          </w:tcPr>
          <w:p>
            <w:r>
              <w:rPr>
                <w:sz w:val="17"/>
              </w:rPr>
            </w:r>
            <w:r>
              <w:rPr>
                <w:sz w:val="17"/>
              </w:rPr>
              <w:t>Three mitigation scenarios: (a) a technology partnership with the CBR via the 258-FZ experimental legal regime; (b) positioning CPFSR as the official front-end through the consolidated inter-agency position of the Ministry of Economic Development / Ministry of Finance / VEB.RF; (c) a specialised layer for targeted infrastructure DFA against collateral — a category that the digital-ruble platform, as a universal settlement instrument, does not cover</w:t>
            </w:r>
          </w:p>
        </w:tc>
      </w:tr>
      <w:tr>
        <w:tc>
          <w:tcPr>
            <w:tcW w:type="dxa" w:w="1728"/>
          </w:tcPr>
          <w:p>
            <w:r>
              <w:rPr>
                <w:sz w:val="17"/>
              </w:rPr>
            </w:r>
            <w:r>
              <w:rPr>
                <w:b/>
                <w:sz w:val="17"/>
              </w:rPr>
              <w:t>Replication by the regulator</w:t>
            </w:r>
          </w:p>
        </w:tc>
        <w:tc>
          <w:tcPr>
            <w:tcW w:type="dxa" w:w="1728"/>
          </w:tcPr>
          <w:p>
            <w:r>
              <w:rPr>
                <w:sz w:val="17"/>
              </w:rPr>
            </w:r>
            <w:r>
              <w:rPr>
                <w:sz w:val="17"/>
              </w:rPr>
              <w:t>The state implements the same logic via Atomyze / VEB.RF / Sber directly, bypassing CPFSR</w:t>
            </w:r>
          </w:p>
        </w:tc>
        <w:tc>
          <w:tcPr>
            <w:tcW w:type="dxa" w:w="1728"/>
          </w:tcPr>
          <w:p>
            <w:r>
              <w:rPr>
                <w:sz w:val="17"/>
              </w:rPr>
            </w:r>
            <w:r>
              <w:rPr>
                <w:sz w:val="17"/>
              </w:rPr>
              <w:t>Low–Medium</w:t>
            </w:r>
          </w:p>
        </w:tc>
        <w:tc>
          <w:tcPr>
            <w:tcW w:type="dxa" w:w="1728"/>
          </w:tcPr>
          <w:p>
            <w:r>
              <w:rPr>
                <w:sz w:val="17"/>
              </w:rPr>
            </w:r>
            <w:r>
              <w:rPr>
                <w:sz w:val="17"/>
              </w:rPr>
              <w:t>Material</w:t>
            </w:r>
          </w:p>
        </w:tc>
        <w:tc>
          <w:tcPr>
            <w:tcW w:type="dxa" w:w="1728"/>
          </w:tcPr>
          <w:p>
            <w:r>
              <w:rPr>
                <w:sz w:val="17"/>
              </w:rPr>
            </w:r>
            <w:r>
              <w:rPr>
                <w:sz w:val="17"/>
              </w:rPr>
              <w:t>Four defensive contours: (1) network effects — a pool of pledgors + a partner bank + an insurer + an appraiser + a region forms a two-sided Metcalfe effect; (2) IP portfolio — deposit No. 4011265 + Rospatent software registration (Article 1262 CC) + know-how (Article 1465 CC) + a trademark (Article 1477 CC) + a method patent on DFA exchange (Chapter 72 CC, application); (3) first-mover advantage of 24–30 months in the targeted infrastructure DFA category with integration of the VEB.RF Project Finance Factory; (4) a contractual moat — an exclusive LoI / MSA with the incumbent 779-P operator (Atomyze) for 3 years in the "targeted infrastructure DFA against collateral" category</w:t>
            </w:r>
          </w:p>
        </w:tc>
      </w:tr>
    </w:tbl>
    <w:p/>
    <w:p>
      <w:pPr>
        <w:jc w:val="both"/>
      </w:pPr>
      <w:r>
        <w:t xml:space="preserve">The risk map is reviewed quarterly. </w:t>
      </w:r>
      <w:r>
        <w:rPr>
          <w:b/>
        </w:rPr>
        <w:t>Stage 1 is defensible without federal-law amendments.</w:t>
      </w:r>
      <w:r>
        <w:t xml:space="preserve"> The principal regulatory Stage 2 risk (adoption of the package of four federal laws) is analysed in detail in the Legal Framework document § 8.2.</w:t>
      </w:r>
    </w:p>
    <w:p>
      <w:pPr>
        <w:pStyle w:val="Heading2"/>
      </w:pPr>
      <w:r>
        <w:t>11. Team</w:t>
      </w:r>
    </w:p>
    <w:p>
      <w:pPr>
        <w:pStyle w:val="Heading3"/>
      </w:pPr>
      <w:r>
        <w:t>11.1. Author of the concept and project initiator</w:t>
      </w:r>
    </w:p>
    <w:p>
      <w:pPr>
        <w:jc w:val="both"/>
      </w:pPr>
      <w:r>
        <w:rPr>
          <w:b/>
        </w:rPr>
        <w:t>Abdul-Khakim Akhmadovich Kagirov</w:t>
      </w:r>
      <w:r>
        <w:t xml:space="preserve"> — the author and rightsholder of the CPFSR know-how (Deposit Certificate No. 4011265 of 19.12.2024). The platform concept set out in this document was developed by him and is protected as established by law.</w:t>
      </w:r>
    </w:p>
    <w:p>
      <w:pPr>
        <w:pStyle w:val="Heading3"/>
      </w:pPr>
      <w:r>
        <w:t>11.2. Building the executive team</w:t>
      </w:r>
    </w:p>
    <w:p>
      <w:pPr>
        <w:jc w:val="both"/>
      </w:pPr>
      <w:r>
        <w:t>At the start (2025), the core team is formed:</w:t>
      </w:r>
    </w:p>
    <w:p>
      <w:pPr>
        <w:pStyle w:val="ListBullet"/>
      </w:pPr>
      <w:r>
        <w:t>CEO — a managing partner with experience in launching infrastructure fintech projects.</w:t>
      </w:r>
    </w:p>
    <w:p>
      <w:pPr>
        <w:pStyle w:val="ListBullet"/>
      </w:pPr>
      <w:r>
        <w:t>CTO — a CTO with experience in building banking platforms.</w:t>
      </w:r>
    </w:p>
    <w:p>
      <w:pPr>
        <w:pStyle w:val="ListBullet"/>
      </w:pPr>
      <w:r>
        <w:t>CCO — a compliance officer with experience in CBR supervisory units.</w:t>
      </w:r>
    </w:p>
    <w:p>
      <w:pPr>
        <w:pStyle w:val="ListBullet"/>
      </w:pPr>
      <w:r>
        <w:t>CFO — a CFO at the level of a large financial corporation.</w:t>
      </w:r>
    </w:p>
    <w:p>
      <w:pPr>
        <w:pStyle w:val="ListBullet"/>
      </w:pPr>
      <w:r>
        <w:t>Board of Directors — 5–9 persons, with mandatory presence of independent directors and key shareholder representatives.</w:t>
      </w:r>
    </w:p>
    <w:p>
      <w:pPr>
        <w:jc w:val="both"/>
      </w:pPr>
      <w:r>
        <w:t>Specific names are not provided: team selection is a starter-stage task, undertaken in parallel with attracting a strategic investor. All appointments are subject to regulator approval (the CBR sets reputation and qualification requirements for managers of operators).</w:t>
      </w:r>
    </w:p>
    <w:p>
      <w:pPr>
        <w:pStyle w:val="Heading3"/>
      </w:pPr>
      <w:r>
        <w:t>11.3. Know-how rightsholder protection</w:t>
      </w:r>
    </w:p>
    <w:p>
      <w:pPr>
        <w:jc w:val="both"/>
      </w:pPr>
      <w:r>
        <w:t xml:space="preserve">After contribution of the author's know-how to the charter capital of the operator JSC, the following protective mechanisms are fixed (in detail — </w:t>
      </w:r>
      <w:r>
        <w:rPr>
          <w:rFonts w:ascii="Consolas" w:hAnsi="Consolas"/>
          <w:sz w:val="18"/>
        </w:rPr>
        <w:t>_Мастер/Концепт.md</w:t>
      </w:r>
      <w:r>
        <w:t xml:space="preserve"> § 1-quater):</w:t>
      </w:r>
    </w:p>
    <w:p>
      <w:pPr>
        <w:pStyle w:val="ListNumber"/>
      </w:pPr>
      <w:r>
        <w:rPr>
          <w:b/>
        </w:rPr>
        <w:t>A permanent seat for author A.A.A. Kagirov on the Board of Directors</w:t>
      </w:r>
      <w:r>
        <w:t xml:space="preserve"> until Series B (≥ 2031), independent of the size of the investor's stake.</w:t>
      </w:r>
    </w:p>
    <w:p>
      <w:pPr>
        <w:pStyle w:val="ListNumber"/>
      </w:pPr>
      <w:r>
        <w:rPr>
          <w:b/>
        </w:rPr>
        <w:t>Protective covenants in the Shareholders Agreement:</w:t>
      </w:r>
      <w:r>
        <w:t xml:space="preserve"> drag-along — only with the rightsholder's participation; tag-along — 100% protection from a forced exit; anti-dilution full ratchet until Series B; prohibition on assigning know-how rights without the rightsholder's consent; vesting of the institutional shareholder of 4 years with a 1-year cliff.</w:t>
      </w:r>
    </w:p>
    <w:p>
      <w:pPr>
        <w:pStyle w:val="ListNumber"/>
      </w:pPr>
      <w:r>
        <w:rPr>
          <w:b/>
        </w:rPr>
        <w:t>Reverter of the know-how</w:t>
      </w:r>
      <w:r>
        <w:t xml:space="preserve"> upon liquidation / bankruptcy / hostile takeover: the exclusive rights revert to the author unconditionally.</w:t>
      </w:r>
    </w:p>
    <w:p>
      <w:pPr>
        <w:pStyle w:val="ListNumber"/>
      </w:pPr>
      <w:r>
        <w:rPr>
          <w:b/>
        </w:rPr>
        <w:t>A 2% royalty</w:t>
      </w:r>
      <w:r>
        <w:t xml:space="preserve"> on the operator's revenue payable to the rightsholder as licensor (alongside share dividends).</w:t>
      </w:r>
    </w:p>
    <w:p>
      <w:pPr>
        <w:pStyle w:val="Heading3"/>
      </w:pPr>
      <w:r>
        <w:t>11.4. EBITDA margin: bridge 2030 → 2034</w:t>
      </w:r>
    </w:p>
    <w:p>
      <w:pPr>
        <w:jc w:val="both"/>
      </w:pPr>
      <w:r>
        <w:t xml:space="preserve">The EBITDA margin trajectory in the model: 2029 = 54.6%, 2030 = 67.5%, 2031 = 72.3%, 2033 = 74.1%, 2036 = 75.1%. The growth is explained by the structure of income and costs: the servicing fee is charged on the accumulated stack of digital financial assets (about RUB 25.9 tn by 2036) and requires almost no additional cost to service, whereas costs in the model consist of an indexed base and a variable part of 22% of revenue. Benchmarks of comparable companies: infrastructure exchange and depository operators 65–75%, international payment systems 60–70%. Calculation — </w:t>
      </w:r>
      <w:r>
        <w:rPr>
          <w:rFonts w:ascii="Consolas" w:hAnsi="Consolas"/>
          <w:sz w:val="18"/>
        </w:rPr>
        <w:t>03_Финансовая_модель/Модель/Выгрузка/04_pnl.csv</w:t>
      </w:r>
      <w:r>
        <w:t>.</w:t>
      </w:r>
    </w:p>
    <w:p>
      <w:pPr>
        <w:pStyle w:val="Heading2"/>
      </w:pPr>
      <w:r>
        <w:t>12. Socio-economic effect</w:t>
      </w:r>
    </w:p>
    <w:p>
      <w:pPr>
        <w:pStyle w:val="Heading3"/>
      </w:pPr>
      <w:r>
        <w:t>12.1. Impact on GDP</w:t>
      </w:r>
    </w:p>
    <w:p>
      <w:pPr>
        <w:jc w:val="both"/>
      </w:pPr>
      <w:r>
        <w:t>The financing volume attracted via CPFSR in the base scenario:</w:t>
      </w:r>
    </w:p>
    <w:p>
      <w:pPr>
        <w:pStyle w:val="ListBullet"/>
      </w:pPr>
      <w:r>
        <w:t>2028: RUB 112 bn of issuance → infrastructure funding through the VEB.RF Factory + Federal Treasury (Stage 1) → reinvested into national projects.</w:t>
      </w:r>
    </w:p>
    <w:p>
      <w:pPr>
        <w:pStyle w:val="ListBullet"/>
      </w:pPr>
      <w:r>
        <w:t>2031: RUB 2.78 tn annual issuance. On the Stage 2 horizon (after adoption of the package of four federal-law amendments) — transition to the targeted secured-emission model of the Bank of Russia.</w:t>
      </w:r>
    </w:p>
    <w:p>
      <w:pPr>
        <w:pStyle w:val="ListBullet"/>
      </w:pPr>
      <w:r>
        <w:t>2036: RUB 6.93 tn annual issuance.</w:t>
      </w:r>
    </w:p>
    <w:p>
      <w:pPr>
        <w:jc w:val="both"/>
      </w:pPr>
      <w:r>
        <w:t>At an infrastructure investment multiplier of 1.8–2.3 (the standard range for the Russian economy; the Ministry of Economic Development uses 1.9–2.1 for assessing national-project effects), the expected GDP contribution from CPFSR investments:</w:t>
      </w:r>
    </w:p>
    <w:p>
      <w:pPr>
        <w:pStyle w:val="ListBullet"/>
      </w:pPr>
      <w:r>
        <w:t>2031: RUB 5.0–6.4 tn of additional economic activity.</w:t>
      </w:r>
    </w:p>
    <w:p>
      <w:pPr>
        <w:pStyle w:val="ListBullet"/>
      </w:pPr>
      <w:r>
        <w:t>2036: RUB 12.5–15.9 tn of additional economic activity.</w:t>
      </w:r>
    </w:p>
    <w:p>
      <w:pPr>
        <w:jc w:val="both"/>
      </w:pPr>
      <w:r>
        <w:t>This is comparable to 5–8% of the nominal GDP of the RF (for 2034).</w:t>
      </w:r>
    </w:p>
    <w:p>
      <w:pPr>
        <w:pStyle w:val="Heading3"/>
      </w:pPr>
      <w:r>
        <w:t>12.2. Impact on national projects</w:t>
      </w:r>
    </w:p>
    <w:p>
      <w:pPr>
        <w:jc w:val="both"/>
      </w:pPr>
      <w:r>
        <w:t>CPFSR provides targeted financing of national projects without increasing the budget burden. Reduction of the financing queue through mobilisation of the private collateral base is the key effect, directly stated in the 6th advantage of the author's concept.</w:t>
      </w:r>
    </w:p>
    <w:p>
      <w:pPr>
        <w:jc w:val="both"/>
      </w:pPr>
      <w:r>
        <w:t>Potential target areas (defined by sectoral federal laws and government decrees):</w:t>
      </w:r>
    </w:p>
    <w:p>
      <w:pPr>
        <w:pStyle w:val="ListBullet"/>
      </w:pPr>
      <w:r>
        <w:t>Heavy industry and machine-building.</w:t>
      </w:r>
    </w:p>
    <w:p>
      <w:pPr>
        <w:pStyle w:val="ListBullet"/>
      </w:pPr>
      <w:r>
        <w:t>Import substitution in critical sectors.</w:t>
      </w:r>
    </w:p>
    <w:p>
      <w:pPr>
        <w:pStyle w:val="ListBullet"/>
      </w:pPr>
      <w:r>
        <w:t>Healthcare (infrastructure modernisation, equipment).</w:t>
      </w:r>
    </w:p>
    <w:p>
      <w:pPr>
        <w:pStyle w:val="ListBullet"/>
      </w:pPr>
      <w:r>
        <w:t>Science and education.</w:t>
      </w:r>
    </w:p>
    <w:p>
      <w:pPr>
        <w:pStyle w:val="ListBullet"/>
      </w:pPr>
      <w:r>
        <w:t>Transport infrastructure (bridges, roads, logistics hubs).</w:t>
      </w:r>
    </w:p>
    <w:p>
      <w:pPr>
        <w:pStyle w:val="ListBullet"/>
      </w:pPr>
      <w:r>
        <w:t>Energy and utilities.</w:t>
      </w:r>
    </w:p>
    <w:p>
      <w:pPr>
        <w:pStyle w:val="Heading3"/>
      </w:pPr>
      <w:r>
        <w:t>12.3. Impact on "dormant" assets</w:t>
      </w:r>
    </w:p>
    <w:p>
      <w:pPr>
        <w:jc w:val="both"/>
      </w:pPr>
      <w:r>
        <w:t>Per the 4th advantage of the concept — bringing "dormant" private assets into the economic turnover.</w:t>
      </w:r>
    </w:p>
    <w:p>
      <w:pPr>
        <w:jc w:val="both"/>
      </w:pPr>
      <w:r>
        <w:t>At present, around 80% of residential and a significant share of commercial real estate in the RF are not used as collateral instruments for objective reasons (paperwork, procedural duration, no suitable product). CPFSR removes these barriers via automation and a new product contour. By year 10 annual issuance reaches 18% of the collateral capacity (RUB 6.93 tn) and the circulating stack RUB 25.9 tn. At an average issue of RUB 10 mn per client this corresponds to mobilising the assets of some 2–3 million owners.</w:t>
      </w:r>
    </w:p>
    <w:p>
      <w:pPr>
        <w:pStyle w:val="Heading3"/>
      </w:pPr>
      <w:r>
        <w:t>12.4. Additional income for owners</w:t>
      </w:r>
    </w:p>
    <w:p>
      <w:pPr>
        <w:jc w:val="both"/>
      </w:pPr>
      <w:r>
        <w:t>Per the 9th point of the concept — financial remuneration for the owner of the pledged property.</w:t>
      </w:r>
    </w:p>
    <w:p>
      <w:pPr>
        <w:jc w:val="both"/>
      </w:pPr>
      <w:r>
        <w:t>Under an owner-remuneration model of, for example, 1–2% p.a. of the DFA nominal (the exact rate is set by regulatory standards and the contract with the operator), aggregate payouts to owners by Year 10:</w:t>
      </w:r>
    </w:p>
    <w:p>
      <w:pPr>
        <w:pStyle w:val="ListBullet"/>
      </w:pPr>
      <w:r>
        <w:t>DFA stack volume: RUB 25.9 tn.</w:t>
      </w:r>
    </w:p>
    <w:p>
      <w:pPr>
        <w:pStyle w:val="ListBullet"/>
      </w:pPr>
      <w:r>
        <w:t>At 1% — RUB 259 bn in additional owner income annually.</w:t>
      </w:r>
    </w:p>
    <w:p>
      <w:pPr>
        <w:pStyle w:val="ListBullet"/>
      </w:pPr>
      <w:r>
        <w:t>At 2% — RUB 518 bn annually.</w:t>
      </w:r>
    </w:p>
    <w:p>
      <w:pPr>
        <w:jc w:val="both"/>
      </w:pPr>
      <w:r>
        <w:t>This is comparable to the budget of several RF regions and provides a significant "secondary" contribution to consumer demand and the tax base.</w:t>
      </w:r>
    </w:p>
    <w:p>
      <w:pPr>
        <w:pStyle w:val="Heading3"/>
      </w:pPr>
      <w:r>
        <w:t>12.5. Impact on the financial system</w:t>
      </w:r>
    </w:p>
    <w:p>
      <w:pPr>
        <w:pStyle w:val="ListBullet"/>
      </w:pPr>
      <w:r>
        <w:t>Expansion of the securities-market instrument base (a new class of reliable assets).</w:t>
      </w:r>
    </w:p>
    <w:p>
      <w:pPr>
        <w:pStyle w:val="ListBullet"/>
      </w:pPr>
      <w:r>
        <w:t>Diversification opportunities for pension and insurance portfolios.</w:t>
      </w:r>
    </w:p>
    <w:p>
      <w:pPr>
        <w:pStyle w:val="ListBullet"/>
      </w:pPr>
      <w:r>
        <w:t>Development of adjacent services (valuation, insurance, legal support) — additional jobs in the financial sector.</w:t>
      </w:r>
    </w:p>
    <w:p>
      <w:pPr>
        <w:pStyle w:val="ListBullet"/>
      </w:pPr>
      <w:r>
        <w:t>Impetus to the development of Russian fintech and regulatory technology.</w:t>
      </w:r>
    </w:p>
    <w:p>
      <w:pPr>
        <w:pStyle w:val="Heading3"/>
      </w:pPr>
      <w:r>
        <w:t>12.6. Inflationary regime</w:t>
      </w:r>
    </w:p>
    <w:p>
      <w:pPr>
        <w:jc w:val="both"/>
      </w:pPr>
      <w:r>
        <w:t>Per the 10th point of the concept — issuance is against fully secured assets. This is fundamentally different from "helicopter" emission: every ruble issued is backed by real, appraised-at-discount property. The inflationary effect is neutral or disinflationary (growth in goods and services supply through national projects offsets the increase in the money supply).</w:t>
      </w:r>
    </w:p>
    <w:p>
      <w:pPr>
        <w:pStyle w:val="Heading2"/>
      </w:pPr>
      <w:r>
        <w:t>13. GTM sequencing and Champion-map (T+0 to T+180)</w:t>
      </w:r>
    </w:p>
    <w:p>
      <w:pPr>
        <w:jc w:val="both"/>
      </w:pPr>
      <w:r>
        <w:t xml:space="preserve">The wedge logic of the project requires bypassing the Bank of Russia at the first step: the CBR is the final instance of Stage 1 (inclusion of the operator in the 779-P register). The key approvals proceed via the Ministry of Economic Development → Ministry of Finance → VEB.RF → State Duma → region → 779-P operator. The named Champion-map (synchronised with </w:t>
      </w:r>
      <w:r>
        <w:rPr>
          <w:rFonts w:ascii="Consolas" w:hAnsi="Consolas"/>
          <w:sz w:val="18"/>
        </w:rPr>
        <w:t>_Мастер/Концепт.md § 1-ter</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Stage</w:t>
            </w:r>
          </w:p>
        </w:tc>
        <w:tc>
          <w:tcPr>
            <w:tcW w:type="dxa" w:w="1728"/>
          </w:tcPr>
          <w:p>
            <w:r>
              <w:rPr>
                <w:b/>
                <w:sz w:val="17"/>
              </w:rPr>
            </w:r>
            <w:r>
              <w:rPr>
                <w:b/>
                <w:sz w:val="17"/>
              </w:rPr>
              <w:t>Person</w:t>
            </w:r>
          </w:p>
        </w:tc>
        <w:tc>
          <w:tcPr>
            <w:tcW w:type="dxa" w:w="1728"/>
          </w:tcPr>
          <w:p>
            <w:r>
              <w:rPr>
                <w:b/>
                <w:sz w:val="17"/>
              </w:rPr>
            </w:r>
            <w:r>
              <w:rPr>
                <w:b/>
                <w:sz w:val="17"/>
              </w:rPr>
              <w:t>Authority</w:t>
            </w:r>
          </w:p>
        </w:tc>
        <w:tc>
          <w:tcPr>
            <w:tcW w:type="dxa" w:w="1728"/>
          </w:tcPr>
          <w:p>
            <w:r>
              <w:rPr>
                <w:b/>
                <w:sz w:val="17"/>
              </w:rPr>
            </w:r>
            <w:r>
              <w:rPr>
                <w:b/>
                <w:sz w:val="17"/>
              </w:rPr>
              <w:t>Objective</w:t>
            </w:r>
          </w:p>
        </w:tc>
        <w:tc>
          <w:tcPr>
            <w:tcW w:type="dxa" w:w="1728"/>
          </w:tcPr>
          <w:p>
            <w:r>
              <w:rPr>
                <w:b/>
                <w:sz w:val="17"/>
              </w:rPr>
            </w:r>
            <w:r>
              <w:rPr>
                <w:b/>
                <w:sz w:val="17"/>
              </w:rPr>
              <w:t>Anchor document</w:t>
            </w:r>
          </w:p>
        </w:tc>
      </w:tr>
      <w:tr>
        <w:tc>
          <w:tcPr>
            <w:tcW w:type="dxa" w:w="1728"/>
          </w:tcPr>
          <w:p>
            <w:r>
              <w:rPr>
                <w:sz w:val="17"/>
              </w:rPr>
            </w:r>
            <w:r>
              <w:rPr>
                <w:sz w:val="17"/>
              </w:rPr>
              <w:t>T+30</w:t>
            </w:r>
          </w:p>
        </w:tc>
        <w:tc>
          <w:tcPr>
            <w:tcW w:type="dxa" w:w="1728"/>
          </w:tcPr>
          <w:p>
            <w:r>
              <w:rPr>
                <w:sz w:val="17"/>
              </w:rPr>
            </w:r>
            <w:r>
              <w:rPr>
                <w:b/>
                <w:sz w:val="17"/>
              </w:rPr>
              <w:t>the relevant official</w:t>
            </w:r>
          </w:p>
        </w:tc>
        <w:tc>
          <w:tcPr>
            <w:tcW w:type="dxa" w:w="1728"/>
          </w:tcPr>
          <w:p>
            <w:r>
              <w:rPr>
                <w:sz w:val="17"/>
              </w:rPr>
            </w:r>
            <w:r>
              <w:rPr>
                <w:sz w:val="17"/>
              </w:rPr>
              <w:t>Ministry of Economic Development, Minister</w:t>
            </w:r>
          </w:p>
        </w:tc>
        <w:tc>
          <w:tcPr>
            <w:tcW w:type="dxa" w:w="1728"/>
          </w:tcPr>
          <w:p>
            <w:r>
              <w:rPr>
                <w:sz w:val="17"/>
              </w:rPr>
            </w:r>
            <w:r>
              <w:rPr>
                <w:sz w:val="17"/>
              </w:rPr>
              <w:t>Wedge-pilot Stage 1 as an accelerant for national projects; named sponsor</w:t>
            </w:r>
          </w:p>
        </w:tc>
        <w:tc>
          <w:tcPr>
            <w:tcW w:type="dxa" w:w="1728"/>
          </w:tcPr>
          <w:p>
            <w:r>
              <w:rPr>
                <w:sz w:val="17"/>
              </w:rPr>
            </w:r>
            <w:r>
              <w:rPr>
                <w:sz w:val="17"/>
              </w:rPr>
              <w:t>Business Plan + Pitch deck + Wedge_pilot-light</w:t>
            </w:r>
          </w:p>
        </w:tc>
      </w:tr>
      <w:tr>
        <w:tc>
          <w:tcPr>
            <w:tcW w:type="dxa" w:w="1728"/>
          </w:tcPr>
          <w:p>
            <w:r>
              <w:rPr>
                <w:sz w:val="17"/>
              </w:rPr>
            </w:r>
            <w:r>
              <w:rPr>
                <w:sz w:val="17"/>
              </w:rPr>
              <w:t>T+30</w:t>
            </w:r>
          </w:p>
        </w:tc>
        <w:tc>
          <w:tcPr>
            <w:tcW w:type="dxa" w:w="1728"/>
          </w:tcPr>
          <w:p>
            <w:r>
              <w:rPr>
                <w:sz w:val="17"/>
              </w:rPr>
            </w:r>
            <w:r>
              <w:rPr>
                <w:b/>
                <w:sz w:val="17"/>
              </w:rPr>
              <w:t>Office of the Government of the Russian Federation</w:t>
            </w:r>
          </w:p>
        </w:tc>
        <w:tc>
          <w:tcPr>
            <w:tcW w:type="dxa" w:w="1728"/>
          </w:tcPr>
          <w:p>
            <w:r>
              <w:rPr>
                <w:sz w:val="17"/>
              </w:rPr>
            </w:r>
            <w:r>
              <w:rPr>
                <w:sz w:val="17"/>
              </w:rPr>
              <w:t>through the sectoral adviser on the digital economy</w:t>
            </w:r>
          </w:p>
        </w:tc>
        <w:tc>
          <w:tcPr>
            <w:tcW w:type="dxa" w:w="1728"/>
          </w:tcPr>
          <w:p>
            <w:r>
              <w:rPr>
                <w:sz w:val="17"/>
              </w:rPr>
            </w:r>
            <w:r>
              <w:rPr>
                <w:sz w:val="17"/>
              </w:rPr>
              <w:t>Architectural concept; inter-agency working group</w:t>
            </w:r>
          </w:p>
        </w:tc>
        <w:tc>
          <w:tcPr>
            <w:tcW w:type="dxa" w:w="1728"/>
          </w:tcPr>
          <w:p>
            <w:r>
              <w:rPr>
                <w:sz w:val="17"/>
              </w:rPr>
            </w:r>
            <w:r>
              <w:rPr>
                <w:sz w:val="17"/>
              </w:rPr>
              <w:t>Concept § 1-bis + Legal Framework § 8.1</w:t>
            </w:r>
          </w:p>
        </w:tc>
      </w:tr>
      <w:tr>
        <w:tc>
          <w:tcPr>
            <w:tcW w:type="dxa" w:w="1728"/>
          </w:tcPr>
          <w:p>
            <w:r>
              <w:rPr>
                <w:sz w:val="17"/>
              </w:rPr>
            </w:r>
            <w:r>
              <w:rPr>
                <w:sz w:val="17"/>
              </w:rPr>
              <w:t>T+30</w:t>
            </w:r>
          </w:p>
        </w:tc>
        <w:tc>
          <w:tcPr>
            <w:tcW w:type="dxa" w:w="1728"/>
          </w:tcPr>
          <w:p>
            <w:r>
              <w:rPr>
                <w:sz w:val="17"/>
              </w:rPr>
            </w:r>
            <w:r>
              <w:rPr>
                <w:b/>
                <w:sz w:val="17"/>
              </w:rPr>
              <w:t>Incumbent CFA IS operator</w:t>
            </w:r>
          </w:p>
        </w:tc>
        <w:tc>
          <w:tcPr>
            <w:tcW w:type="dxa" w:w="1728"/>
          </w:tcPr>
          <w:p>
            <w:r>
              <w:rPr>
                <w:sz w:val="17"/>
              </w:rPr>
            </w:r>
            <w:r>
              <w:rPr>
                <w:sz w:val="17"/>
              </w:rPr>
              <w:t>through a recommended representative</w:t>
            </w:r>
          </w:p>
        </w:tc>
        <w:tc>
          <w:tcPr>
            <w:tcW w:type="dxa" w:w="1728"/>
          </w:tcPr>
          <w:p>
            <w:r>
              <w:rPr>
                <w:sz w:val="17"/>
              </w:rPr>
            </w:r>
            <w:r>
              <w:rPr>
                <w:sz w:val="17"/>
              </w:rPr>
              <w:t>LoI on technology partnership: 779-P transaction operator + CPFSR front-end</w:t>
            </w:r>
          </w:p>
        </w:tc>
        <w:tc>
          <w:tcPr>
            <w:tcW w:type="dxa" w:w="1728"/>
          </w:tcPr>
          <w:p>
            <w:r>
              <w:rPr>
                <w:sz w:val="17"/>
              </w:rPr>
            </w:r>
            <w:r>
              <w:rPr>
                <w:sz w:val="17"/>
              </w:rPr>
              <w:t>Pre-meeting_briefs/01_LoI_оператор_779П.md</w:t>
            </w:r>
          </w:p>
        </w:tc>
      </w:tr>
      <w:tr>
        <w:tc>
          <w:tcPr>
            <w:tcW w:type="dxa" w:w="1728"/>
          </w:tcPr>
          <w:p>
            <w:r>
              <w:rPr>
                <w:sz w:val="17"/>
              </w:rPr>
            </w:r>
            <w:r>
              <w:rPr>
                <w:sz w:val="17"/>
              </w:rPr>
              <w:t>T+90</w:t>
            </w:r>
          </w:p>
        </w:tc>
        <w:tc>
          <w:tcPr>
            <w:tcW w:type="dxa" w:w="1728"/>
          </w:tcPr>
          <w:p>
            <w:r>
              <w:rPr>
                <w:sz w:val="17"/>
              </w:rPr>
            </w:r>
            <w:r>
              <w:rPr>
                <w:b/>
                <w:sz w:val="17"/>
              </w:rPr>
              <w:t>the relevant official</w:t>
            </w:r>
          </w:p>
        </w:tc>
        <w:tc>
          <w:tcPr>
            <w:tcW w:type="dxa" w:w="1728"/>
          </w:tcPr>
          <w:p>
            <w:r>
              <w:rPr>
                <w:sz w:val="17"/>
              </w:rPr>
            </w:r>
            <w:r>
              <w:rPr>
                <w:sz w:val="17"/>
              </w:rPr>
              <w:t>Ministry of Finance, Deputy Minister (debt)</w:t>
            </w:r>
          </w:p>
        </w:tc>
        <w:tc>
          <w:tcPr>
            <w:tcW w:type="dxa" w:w="1728"/>
          </w:tcPr>
          <w:p>
            <w:r>
              <w:rPr>
                <w:sz w:val="17"/>
              </w:rPr>
            </w:r>
            <w:r>
              <w:rPr>
                <w:sz w:val="17"/>
              </w:rPr>
              <w:t>Off-budget channel; the OFZ-pressure relief case</w:t>
            </w:r>
          </w:p>
        </w:tc>
        <w:tc>
          <w:tcPr>
            <w:tcW w:type="dxa" w:w="1728"/>
          </w:tcPr>
          <w:p>
            <w:r>
              <w:rPr>
                <w:sz w:val="17"/>
              </w:rPr>
            </w:r>
            <w:r>
              <w:rPr>
                <w:sz w:val="17"/>
              </w:rPr>
              <w:t>Financial Model v3 + Business Plan</w:t>
            </w:r>
          </w:p>
        </w:tc>
      </w:tr>
      <w:tr>
        <w:tc>
          <w:tcPr>
            <w:tcW w:type="dxa" w:w="1728"/>
          </w:tcPr>
          <w:p>
            <w:r>
              <w:rPr>
                <w:sz w:val="17"/>
              </w:rPr>
            </w:r>
            <w:r>
              <w:rPr>
                <w:sz w:val="17"/>
              </w:rPr>
              <w:t>T+90</w:t>
            </w:r>
          </w:p>
        </w:tc>
        <w:tc>
          <w:tcPr>
            <w:tcW w:type="dxa" w:w="1728"/>
          </w:tcPr>
          <w:p>
            <w:r>
              <w:rPr>
                <w:sz w:val="17"/>
              </w:rPr>
            </w:r>
            <w:r>
              <w:rPr>
                <w:b/>
                <w:sz w:val="17"/>
              </w:rPr>
              <w:t>the relevant official</w:t>
            </w:r>
          </w:p>
        </w:tc>
        <w:tc>
          <w:tcPr>
            <w:tcW w:type="dxa" w:w="1728"/>
          </w:tcPr>
          <w:p>
            <w:r>
              <w:rPr>
                <w:sz w:val="17"/>
              </w:rPr>
            </w:r>
            <w:r>
              <w:rPr>
                <w:sz w:val="17"/>
              </w:rPr>
              <w:t>Ministry of Finance, Deputy Minister (taxes)</w:t>
            </w:r>
          </w:p>
        </w:tc>
        <w:tc>
          <w:tcPr>
            <w:tcW w:type="dxa" w:w="1728"/>
          </w:tcPr>
          <w:p>
            <w:r>
              <w:rPr>
                <w:sz w:val="17"/>
              </w:rPr>
            </w:r>
            <w:r>
              <w:rPr>
                <w:sz w:val="17"/>
              </w:rPr>
              <w:t>DFA tax position (Article 34.2 of the Tax Code; sub-paragraph 12.2 of paragraph 2 of Article 149)</w:t>
            </w:r>
          </w:p>
        </w:tc>
        <w:tc>
          <w:tcPr>
            <w:tcW w:type="dxa" w:w="1728"/>
          </w:tcPr>
          <w:p>
            <w:r>
              <w:rPr>
                <w:sz w:val="17"/>
              </w:rPr>
            </w:r>
            <w:r>
              <w:rPr>
                <w:sz w:val="17"/>
              </w:rPr>
              <w:t>Legal Framework § 5 + request under Article 34.2</w:t>
            </w:r>
          </w:p>
        </w:tc>
      </w:tr>
      <w:tr>
        <w:tc>
          <w:tcPr>
            <w:tcW w:type="dxa" w:w="1728"/>
          </w:tcPr>
          <w:p>
            <w:r>
              <w:rPr>
                <w:sz w:val="17"/>
              </w:rPr>
            </w:r>
            <w:r>
              <w:rPr>
                <w:sz w:val="17"/>
              </w:rPr>
              <w:t>T+90</w:t>
            </w:r>
          </w:p>
        </w:tc>
        <w:tc>
          <w:tcPr>
            <w:tcW w:type="dxa" w:w="1728"/>
          </w:tcPr>
          <w:p>
            <w:r>
              <w:rPr>
                <w:sz w:val="17"/>
              </w:rPr>
            </w:r>
            <w:r>
              <w:rPr>
                <w:b/>
                <w:sz w:val="17"/>
              </w:rPr>
              <w:t>VEB.RF Project Finance Factory</w:t>
            </w:r>
          </w:p>
        </w:tc>
        <w:tc>
          <w:tcPr>
            <w:tcW w:type="dxa" w:w="1728"/>
          </w:tcPr>
          <w:p>
            <w:r>
              <w:rPr>
                <w:sz w:val="17"/>
              </w:rPr>
            </w:r>
            <w:r>
              <w:rPr>
                <w:sz w:val="17"/>
              </w:rPr>
              <w:t>through the recommended representative of the Ministry of Economic Development</w:t>
            </w:r>
          </w:p>
        </w:tc>
        <w:tc>
          <w:tcPr>
            <w:tcW w:type="dxa" w:w="1728"/>
          </w:tcPr>
          <w:p>
            <w:r>
              <w:rPr>
                <w:sz w:val="17"/>
              </w:rPr>
            </w:r>
            <w:r>
              <w:rPr>
                <w:sz w:val="17"/>
              </w:rPr>
              <w:t>Consultative letter under Government Decree No. 158</w:t>
            </w:r>
          </w:p>
        </w:tc>
        <w:tc>
          <w:tcPr>
            <w:tcW w:type="dxa" w:w="1728"/>
          </w:tcPr>
          <w:p>
            <w:r>
              <w:rPr>
                <w:sz w:val="17"/>
              </w:rPr>
            </w:r>
            <w:r>
              <w:rPr>
                <w:sz w:val="17"/>
              </w:rPr>
              <w:t>Pre-meeting_briefs/02_Consultative_letter_ВЭБ.РФ.md</w:t>
            </w:r>
          </w:p>
        </w:tc>
      </w:tr>
      <w:tr>
        <w:tc>
          <w:tcPr>
            <w:tcW w:type="dxa" w:w="1728"/>
          </w:tcPr>
          <w:p>
            <w:r>
              <w:rPr>
                <w:sz w:val="17"/>
              </w:rPr>
            </w:r>
            <w:r>
              <w:rPr>
                <w:sz w:val="17"/>
              </w:rPr>
              <w:t>T+90</w:t>
            </w:r>
          </w:p>
        </w:tc>
        <w:tc>
          <w:tcPr>
            <w:tcW w:type="dxa" w:w="1728"/>
          </w:tcPr>
          <w:p>
            <w:r>
              <w:rPr>
                <w:sz w:val="17"/>
              </w:rPr>
            </w:r>
            <w:r>
              <w:rPr>
                <w:b/>
                <w:sz w:val="17"/>
              </w:rPr>
              <w:t>a partner bank</w:t>
            </w:r>
          </w:p>
        </w:tc>
        <w:tc>
          <w:tcPr>
            <w:tcW w:type="dxa" w:w="1728"/>
          </w:tcPr>
          <w:p>
            <w:r>
              <w:rPr>
                <w:sz w:val="17"/>
              </w:rPr>
            </w:r>
            <w:r>
              <w:rPr>
                <w:sz w:val="17"/>
              </w:rPr>
              <w:t>through the recommended representative of the Ministry of Economic Development</w:t>
            </w:r>
          </w:p>
        </w:tc>
        <w:tc>
          <w:tcPr>
            <w:tcW w:type="dxa" w:w="1728"/>
          </w:tcPr>
          <w:p>
            <w:r>
              <w:rPr>
                <w:sz w:val="17"/>
              </w:rPr>
            </w:r>
            <w:r>
              <w:rPr>
                <w:sz w:val="17"/>
              </w:rPr>
              <w:t>MoU on the role of the pilot settlement bank</w:t>
            </w:r>
          </w:p>
        </w:tc>
        <w:tc>
          <w:tcPr>
            <w:tcW w:type="dxa" w:w="1728"/>
          </w:tcPr>
          <w:p>
            <w:r>
              <w:rPr>
                <w:sz w:val="17"/>
              </w:rPr>
            </w:r>
            <w:r>
              <w:rPr>
                <w:sz w:val="17"/>
              </w:rPr>
              <w:t>Pre-meeting_briefs/04_MoU_GPB_ПСБ.md</w:t>
            </w:r>
          </w:p>
        </w:tc>
      </w:tr>
      <w:tr>
        <w:tc>
          <w:tcPr>
            <w:tcW w:type="dxa" w:w="1728"/>
          </w:tcPr>
          <w:p>
            <w:r>
              <w:rPr>
                <w:sz w:val="17"/>
              </w:rPr>
            </w:r>
            <w:r>
              <w:rPr>
                <w:sz w:val="17"/>
              </w:rPr>
              <w:t>T+180</w:t>
            </w:r>
          </w:p>
        </w:tc>
        <w:tc>
          <w:tcPr>
            <w:tcW w:type="dxa" w:w="1728"/>
          </w:tcPr>
          <w:p>
            <w:r>
              <w:rPr>
                <w:sz w:val="17"/>
              </w:rPr>
            </w:r>
            <w:r>
              <w:rPr>
                <w:b/>
                <w:sz w:val="17"/>
              </w:rPr>
              <w:t>the relevant official</w:t>
            </w:r>
          </w:p>
        </w:tc>
        <w:tc>
          <w:tcPr>
            <w:tcW w:type="dxa" w:w="1728"/>
          </w:tcPr>
          <w:p>
            <w:r>
              <w:rPr>
                <w:sz w:val="17"/>
              </w:rPr>
            </w:r>
            <w:r>
              <w:rPr>
                <w:sz w:val="17"/>
              </w:rPr>
              <w:t>Republic of Tatarstan</w:t>
            </w:r>
          </w:p>
        </w:tc>
        <w:tc>
          <w:tcPr>
            <w:tcW w:type="dxa" w:w="1728"/>
          </w:tcPr>
          <w:p>
            <w:r>
              <w:rPr>
                <w:sz w:val="17"/>
              </w:rPr>
            </w:r>
            <w:r>
              <w:rPr>
                <w:sz w:val="17"/>
              </w:rPr>
              <w:t>MoU on the municipal pilot: 50–100 objects, RUB 5–10 bn</w:t>
            </w:r>
          </w:p>
        </w:tc>
        <w:tc>
          <w:tcPr>
            <w:tcW w:type="dxa" w:w="1728"/>
          </w:tcPr>
          <w:p>
            <w:r>
              <w:rPr>
                <w:sz w:val="17"/>
              </w:rPr>
            </w:r>
            <w:r>
              <w:rPr>
                <w:sz w:val="17"/>
              </w:rPr>
              <w:t>Pre-meeting_briefs/03_MoU_Татарстан.md</w:t>
            </w:r>
          </w:p>
        </w:tc>
      </w:tr>
      <w:tr>
        <w:tc>
          <w:tcPr>
            <w:tcW w:type="dxa" w:w="1728"/>
          </w:tcPr>
          <w:p>
            <w:r>
              <w:rPr>
                <w:sz w:val="17"/>
              </w:rPr>
            </w:r>
            <w:r>
              <w:rPr>
                <w:sz w:val="17"/>
              </w:rPr>
              <w:t>T+180</w:t>
            </w:r>
          </w:p>
        </w:tc>
        <w:tc>
          <w:tcPr>
            <w:tcW w:type="dxa" w:w="1728"/>
          </w:tcPr>
          <w:p>
            <w:r>
              <w:rPr>
                <w:sz w:val="17"/>
              </w:rPr>
            </w:r>
            <w:r>
              <w:rPr>
                <w:b/>
                <w:sz w:val="17"/>
              </w:rPr>
              <w:t>the relevant official</w:t>
            </w:r>
          </w:p>
        </w:tc>
        <w:tc>
          <w:tcPr>
            <w:tcW w:type="dxa" w:w="1728"/>
          </w:tcPr>
          <w:p>
            <w:r>
              <w:rPr>
                <w:sz w:val="17"/>
              </w:rPr>
            </w:r>
            <w:r>
              <w:rPr>
                <w:sz w:val="17"/>
              </w:rPr>
              <w:t>Tyumen Region (reserve)</w:t>
            </w:r>
          </w:p>
        </w:tc>
        <w:tc>
          <w:tcPr>
            <w:tcW w:type="dxa" w:w="1728"/>
          </w:tcPr>
          <w:p>
            <w:r>
              <w:rPr>
                <w:sz w:val="17"/>
              </w:rPr>
            </w:r>
            <w:r>
              <w:rPr>
                <w:sz w:val="17"/>
              </w:rPr>
              <w:t>same</w:t>
            </w:r>
          </w:p>
        </w:tc>
        <w:tc>
          <w:tcPr>
            <w:tcW w:type="dxa" w:w="1728"/>
          </w:tcPr>
          <w:p>
            <w:r>
              <w:rPr>
                <w:sz w:val="17"/>
              </w:rPr>
            </w:r>
            <w:r>
              <w:rPr>
                <w:sz w:val="17"/>
              </w:rPr>
              <w:t>same</w:t>
            </w:r>
          </w:p>
        </w:tc>
      </w:tr>
      <w:tr>
        <w:tc>
          <w:tcPr>
            <w:tcW w:type="dxa" w:w="1728"/>
          </w:tcPr>
          <w:p>
            <w:r>
              <w:rPr>
                <w:sz w:val="17"/>
              </w:rPr>
            </w:r>
            <w:r>
              <w:rPr>
                <w:sz w:val="17"/>
              </w:rPr>
              <w:t>T+180</w:t>
            </w:r>
          </w:p>
        </w:tc>
        <w:tc>
          <w:tcPr>
            <w:tcW w:type="dxa" w:w="1728"/>
          </w:tcPr>
          <w:p>
            <w:r>
              <w:rPr>
                <w:sz w:val="17"/>
              </w:rPr>
            </w:r>
            <w:r>
              <w:rPr>
                <w:b/>
                <w:sz w:val="17"/>
              </w:rPr>
              <w:t>the relevant official</w:t>
            </w:r>
          </w:p>
        </w:tc>
        <w:tc>
          <w:tcPr>
            <w:tcW w:type="dxa" w:w="1728"/>
          </w:tcPr>
          <w:p>
            <w:r>
              <w:rPr>
                <w:sz w:val="17"/>
              </w:rPr>
            </w:r>
            <w:r>
              <w:rPr>
                <w:sz w:val="17"/>
              </w:rPr>
              <w:t>State Duma, Financial Market Committee</w:t>
            </w:r>
          </w:p>
        </w:tc>
        <w:tc>
          <w:tcPr>
            <w:tcW w:type="dxa" w:w="1728"/>
          </w:tcPr>
          <w:p>
            <w:r>
              <w:rPr>
                <w:sz w:val="17"/>
              </w:rPr>
            </w:r>
            <w:r>
              <w:rPr>
                <w:sz w:val="17"/>
              </w:rPr>
              <w:t>Consultation on 259-FZ for Stage 1; horizon Stage 2 — the package of four federal laws</w:t>
            </w:r>
          </w:p>
        </w:tc>
        <w:tc>
          <w:tcPr>
            <w:tcW w:type="dxa" w:w="1728"/>
          </w:tcPr>
          <w:p>
            <w:r>
              <w:rPr>
                <w:sz w:val="17"/>
              </w:rPr>
            </w:r>
            <w:r>
              <w:rPr>
                <w:sz w:val="17"/>
              </w:rPr>
              <w:t>CBR Briefing + Concept</w:t>
            </w:r>
          </w:p>
        </w:tc>
      </w:tr>
      <w:tr>
        <w:tc>
          <w:tcPr>
            <w:tcW w:type="dxa" w:w="1728"/>
          </w:tcPr>
          <w:p>
            <w:r>
              <w:rPr>
                <w:sz w:val="17"/>
              </w:rPr>
            </w:r>
            <w:r>
              <w:rPr>
                <w:sz w:val="17"/>
              </w:rPr>
              <w:t>T+180+</w:t>
            </w:r>
          </w:p>
        </w:tc>
        <w:tc>
          <w:tcPr>
            <w:tcW w:type="dxa" w:w="1728"/>
          </w:tcPr>
          <w:p>
            <w:r>
              <w:rPr>
                <w:sz w:val="17"/>
              </w:rPr>
            </w:r>
            <w:r>
              <w:rPr>
                <w:b/>
                <w:sz w:val="17"/>
              </w:rPr>
              <w:t>Bank of Russia</w:t>
            </w:r>
          </w:p>
        </w:tc>
        <w:tc>
          <w:tcPr>
            <w:tcW w:type="dxa" w:w="1728"/>
          </w:tcPr>
          <w:p>
            <w:r>
              <w:rPr>
                <w:sz w:val="17"/>
              </w:rPr>
            </w:r>
            <w:r>
              <w:rPr>
                <w:sz w:val="17"/>
              </w:rPr>
              <w:t>through a consolidated inter-agency position</w:t>
            </w:r>
          </w:p>
        </w:tc>
        <w:tc>
          <w:tcPr>
            <w:tcW w:type="dxa" w:w="1728"/>
          </w:tcPr>
          <w:p>
            <w:r>
              <w:rPr>
                <w:sz w:val="17"/>
              </w:rPr>
            </w:r>
            <w:r>
              <w:rPr>
                <w:sz w:val="17"/>
              </w:rPr>
              <w:t>IS DFA operator register under 779-P (Stage 1)</w:t>
            </w:r>
          </w:p>
        </w:tc>
        <w:tc>
          <w:tcPr>
            <w:tcW w:type="dxa" w:w="1728"/>
          </w:tcPr>
          <w:p>
            <w:r>
              <w:rPr>
                <w:sz w:val="17"/>
              </w:rPr>
            </w:r>
            <w:r>
              <w:rPr>
                <w:sz w:val="17"/>
              </w:rPr>
              <w:t>Legal Framework § 8.1</w:t>
            </w:r>
          </w:p>
        </w:tc>
      </w:tr>
    </w:tbl>
    <w:p/>
    <w:p>
      <w:pPr>
        <w:jc w:val="both"/>
      </w:pPr>
      <w:r>
        <w:rPr>
          <w:b/>
        </w:rPr>
        <w:t>Success metrics for the Stage 1 → Stage 2 transition:</w:t>
      </w:r>
      <w:r>
        <w:t xml:space="preserve"> yield ≥ 18% p.a. for asset owners; ≥ 8 regions in the system; AUM ≥ RUB 50 bn by end-2027; no incidents in the class of 779-P § 9 (investor-rights protection).</w:t>
      </w:r>
    </w:p>
    <w:p>
      <w:pPr>
        <w:jc w:val="both"/>
      </w:pPr>
      <w:r>
        <w:t xml:space="preserve">Pre-meeting briefs for each champion — in </w:t>
      </w:r>
      <w:r>
        <w:rPr>
          <w:rFonts w:ascii="Consolas" w:hAnsi="Consolas"/>
          <w:sz w:val="18"/>
        </w:rPr>
        <w:t>02_Юридический_фундамент/Pre-meeting_briefs/</w:t>
      </w:r>
      <w:r>
        <w:t xml:space="preserve"> (4 drafts ready).</w:t>
      </w:r>
    </w:p>
    <w:p>
      <w:pPr>
        <w:pStyle w:val="Heading2"/>
      </w:pPr>
      <w:r>
        <w:t>14. Appendices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Document</w:t>
            </w:r>
          </w:p>
        </w:tc>
        <w:tc>
          <w:tcPr>
            <w:tcW w:type="dxa" w:w="4320"/>
          </w:tcPr>
          <w:p>
            <w:r>
              <w:rPr>
                <w:b/>
                <w:sz w:val="17"/>
              </w:rPr>
            </w:r>
            <w:r>
              <w:rPr>
                <w:b/>
                <w:sz w:val="17"/>
              </w:rPr>
              <w:t>Location</w:t>
            </w:r>
          </w:p>
        </w:tc>
      </w:tr>
      <w:tr>
        <w:tc>
          <w:tcPr>
            <w:tcW w:type="dxa" w:w="4320"/>
          </w:tcPr>
          <w:p>
            <w:r>
              <w:rPr>
                <w:sz w:val="17"/>
              </w:rPr>
            </w:r>
            <w:r>
              <w:rPr>
                <w:sz w:val="17"/>
              </w:rPr>
              <w:t>Financial model</w:t>
            </w:r>
          </w:p>
        </w:tc>
        <w:tc>
          <w:tcPr>
            <w:tcW w:type="dxa" w:w="4320"/>
          </w:tcPr>
          <w:p>
            <w:r>
              <w:rPr>
                <w:sz w:val="17"/>
              </w:rPr>
            </w:r>
            <w:r>
              <w:rPr>
                <w:rFonts w:ascii="Consolas" w:hAnsi="Consolas"/>
                <w:sz w:val="17"/>
              </w:rPr>
              <w:t>03_Финансовая_модель/Финансовая_модель_ЦП_РСФСР.md</w:t>
            </w:r>
          </w:p>
        </w:tc>
      </w:tr>
      <w:tr>
        <w:tc>
          <w:tcPr>
            <w:tcW w:type="dxa" w:w="4320"/>
          </w:tcPr>
          <w:p>
            <w:r>
              <w:rPr>
                <w:sz w:val="17"/>
              </w:rPr>
            </w:r>
            <w:r>
              <w:rPr>
                <w:sz w:val="17"/>
              </w:rPr>
              <w:t>Notes to the financial model</w:t>
            </w:r>
          </w:p>
        </w:tc>
        <w:tc>
          <w:tcPr>
            <w:tcW w:type="dxa" w:w="4320"/>
          </w:tcPr>
          <w:p>
            <w:r>
              <w:rPr>
                <w:sz w:val="17"/>
              </w:rPr>
            </w:r>
            <w:r>
              <w:rPr>
                <w:rFonts w:ascii="Consolas" w:hAnsi="Consolas"/>
                <w:sz w:val="17"/>
              </w:rPr>
              <w:t>03_Финансовая_модель/Финмодель_допущения_и_расчёты.md</w:t>
            </w:r>
          </w:p>
        </w:tc>
      </w:tr>
      <w:tr>
        <w:tc>
          <w:tcPr>
            <w:tcW w:type="dxa" w:w="4320"/>
          </w:tcPr>
          <w:p>
            <w:r>
              <w:rPr>
                <w:sz w:val="17"/>
              </w:rPr>
            </w:r>
            <w:r>
              <w:rPr>
                <w:sz w:val="17"/>
              </w:rPr>
              <w:t>Author's concept</w:t>
            </w:r>
          </w:p>
        </w:tc>
        <w:tc>
          <w:tcPr>
            <w:tcW w:type="dxa" w:w="4320"/>
          </w:tcPr>
          <w:p>
            <w:r>
              <w:rPr>
                <w:sz w:val="17"/>
              </w:rPr>
            </w:r>
            <w:r>
              <w:rPr>
                <w:rFonts w:ascii="Consolas" w:hAnsi="Consolas"/>
                <w:sz w:val="17"/>
              </w:rPr>
              <w:t>_Мастер/Концепт.md</w:t>
            </w:r>
          </w:p>
        </w:tc>
      </w:tr>
      <w:tr>
        <w:tc>
          <w:tcPr>
            <w:tcW w:type="dxa" w:w="4320"/>
          </w:tcPr>
          <w:p>
            <w:r>
              <w:rPr>
                <w:sz w:val="17"/>
              </w:rPr>
            </w:r>
            <w:r>
              <w:rPr>
                <w:sz w:val="17"/>
              </w:rPr>
              <w:t>Legal framework</w:t>
            </w:r>
          </w:p>
        </w:tc>
        <w:tc>
          <w:tcPr>
            <w:tcW w:type="dxa" w:w="4320"/>
          </w:tcPr>
          <w:p>
            <w:r>
              <w:rPr>
                <w:sz w:val="17"/>
              </w:rPr>
            </w:r>
            <w:r>
              <w:rPr>
                <w:rFonts w:ascii="Consolas" w:hAnsi="Consolas"/>
                <w:sz w:val="17"/>
              </w:rPr>
              <w:t>02_Юридический_фундамент/</w:t>
            </w:r>
            <w:r>
              <w:rPr>
                <w:sz w:val="17"/>
              </w:rPr>
              <w:t xml:space="preserve"> (separate document)</w:t>
            </w:r>
          </w:p>
        </w:tc>
      </w:tr>
      <w:tr>
        <w:tc>
          <w:tcPr>
            <w:tcW w:type="dxa" w:w="4320"/>
          </w:tcPr>
          <w:p>
            <w:r>
              <w:rPr>
                <w:sz w:val="17"/>
              </w:rPr>
            </w:r>
            <w:r>
              <w:rPr>
                <w:sz w:val="17"/>
              </w:rPr>
              <w:t>Technical solution</w:t>
            </w:r>
          </w:p>
        </w:tc>
        <w:tc>
          <w:tcPr>
            <w:tcW w:type="dxa" w:w="4320"/>
          </w:tcPr>
          <w:p>
            <w:r>
              <w:rPr>
                <w:sz w:val="17"/>
              </w:rPr>
            </w:r>
            <w:r>
              <w:rPr>
                <w:rFonts w:ascii="Consolas" w:hAnsi="Consolas"/>
                <w:sz w:val="17"/>
              </w:rPr>
              <w:t>01_Техническая_документация/</w:t>
            </w:r>
            <w:r>
              <w:rPr>
                <w:sz w:val="17"/>
              </w:rPr>
              <w:t xml:space="preserve"> (separate document)</w:t>
            </w:r>
          </w:p>
        </w:tc>
      </w:tr>
      <w:tr>
        <w:tc>
          <w:tcPr>
            <w:tcW w:type="dxa" w:w="4320"/>
          </w:tcPr>
          <w:p>
            <w:r>
              <w:rPr>
                <w:sz w:val="17"/>
              </w:rPr>
            </w:r>
            <w:r>
              <w:rPr>
                <w:sz w:val="17"/>
              </w:rPr>
              <w:t>Pre-meeting briefs</w:t>
            </w:r>
          </w:p>
        </w:tc>
        <w:tc>
          <w:tcPr>
            <w:tcW w:type="dxa" w:w="4320"/>
          </w:tcPr>
          <w:p>
            <w:r>
              <w:rPr>
                <w:sz w:val="17"/>
              </w:rPr>
            </w:r>
            <w:r>
              <w:rPr>
                <w:rFonts w:ascii="Consolas" w:hAnsi="Consolas"/>
                <w:sz w:val="17"/>
              </w:rPr>
              <w:t>02_Юридический_фундамент/Pre-meeting_briefs/</w:t>
            </w:r>
          </w:p>
        </w:tc>
      </w:tr>
      <w:tr>
        <w:tc>
          <w:tcPr>
            <w:tcW w:type="dxa" w:w="4320"/>
          </w:tcPr>
          <w:p>
            <w:r>
              <w:rPr>
                <w:sz w:val="17"/>
              </w:rPr>
            </w:r>
            <w:r>
              <w:rPr>
                <w:sz w:val="17"/>
              </w:rPr>
              <w:t>Deposit certificate</w:t>
            </w:r>
          </w:p>
        </w:tc>
        <w:tc>
          <w:tcPr>
            <w:tcW w:type="dxa" w:w="4320"/>
          </w:tcPr>
          <w:p>
            <w:r>
              <w:rPr>
                <w:sz w:val="17"/>
              </w:rPr>
            </w:r>
            <w:r>
              <w:rPr>
                <w:sz w:val="17"/>
              </w:rPr>
              <w:t>No. 4011265 of 19.12.2024 (held by the author)</w:t>
            </w:r>
          </w:p>
        </w:tc>
      </w:tr>
    </w:tbl>
    <w:p/>
    <w:p>
      <w:pPr>
        <w:jc w:val="both"/>
      </w:pPr>
      <w:r>
        <w:rPr>
          <w:b/>
        </w:rPr>
        <w:t>Date:</w:t>
      </w:r>
      <w:r>
        <w:t xml:space="preserve"> 24.05.2026 (post-Horizon-II refactor: § 13 GTM sequencing added). </w:t>
      </w:r>
      <w:r>
        <w:rPr>
          <w:b/>
        </w:rPr>
        <w:t>Sources:</w:t>
      </w:r>
      <w:r>
        <w:t xml:space="preserve"> the author's concept (A.-Kh. A. Kagirov, Certificate No. 4011265 of 19.12.2024); 86-FZ, 259-FZ, the Tax Code, the CBR Monetary Policy Guidelines; Rosstat data. No third-party materials were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