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— Vendor Due Diligence (Big-4)</w:t>
      </w:r>
    </w:p>
    <w:p>
      <w:pPr>
        <w:ind w:left="360"/>
      </w:pPr>
      <w:r>
        <w:rPr>
          <w:b/>
          <w:i/>
          <w:color w:val="444444"/>
        </w:rPr>
        <w:t>Note.</w:t>
      </w:r>
      <w:r>
        <w:rPr>
          <w:i/>
          <w:color w:val="444444"/>
        </w:rPr>
        <w:t xml:space="preserve"> This translation follows the Russian original. The financial part of the original was recalculated on 07.09.2026 (model v5); the figures of this translation have been brought into line with that calculation. In case of any discrepancy in wording, the Russian version prevails.</w:t>
      </w:r>
    </w:p>
    <w:p>
      <w:pPr>
        <w:jc w:val="both"/>
      </w:pPr>
      <w:r>
        <w:rPr>
          <w:b/>
        </w:rPr>
        <w:t>Project:</w:t>
      </w:r>
      <w:r>
        <w:t xml:space="preserve"> Digital Platform CPFSR — DFA operator backed by real-estate collateral with issuance for national projects </w:t>
      </w:r>
      <w:r>
        <w:rPr>
          <w:b/>
        </w:rPr>
        <w:t>Client:</w:t>
      </w:r>
      <w:r>
        <w:t xml:space="preserve"> Abdul-Khakim Akhmadovich Kagirov (Center Group Company) — sole rightsholder of the concept (deposit certificate No. 4011265 of 19.12.2024) </w:t>
      </w:r>
      <w:r>
        <w:rPr>
          <w:b/>
        </w:rPr>
        <w:t>Engagement reference:</w:t>
      </w:r>
      <w:r>
        <w:t xml:space="preserve"> RSFSR-DD-2026 </w:t>
      </w:r>
      <w:r>
        <w:rPr>
          <w:b/>
        </w:rPr>
        <w:t>RFP issue date:</w:t>
      </w:r>
      <w:r>
        <w:t xml:space="preserve"> 24.05.2026 </w:t>
      </w:r>
      <w:r>
        <w:rPr>
          <w:b/>
        </w:rPr>
        <w:t>Bid deadline:</w:t>
      </w:r>
      <w:r>
        <w:t xml:space="preserve"> T+21 days (15.06.2026)</w:t>
      </w:r>
    </w:p>
    <w:p>
      <w:pPr>
        <w:pStyle w:val="Heading2"/>
      </w:pPr>
      <w:r>
        <w:t>1. Engagement objective</w:t>
      </w:r>
    </w:p>
    <w:p>
      <w:pPr>
        <w:jc w:val="both"/>
      </w:pPr>
      <w:r>
        <w:t>Obtaining an independent tier-1 (Big-4) Vendor Due Diligence opinion on the CPFSR project, in order to secure investment attractiveness for a strategic round of USD 25M (pre-money USD 248M, post-money USD 273M, investor stake 9.21%) and to prepare for Series A.</w:t>
      </w:r>
    </w:p>
    <w:p>
      <w:pPr>
        <w:jc w:val="both"/>
      </w:pPr>
      <w:r>
        <w:t>The opinion must meet the standard of investor memoranda used in tier-1 PE/VC transactions and be acceptable to the following categories of participants:</w:t>
      </w:r>
    </w:p>
    <w:p>
      <w:pPr>
        <w:pStyle w:val="ListBullet"/>
      </w:pPr>
      <w:r>
        <w:t>Institutional investors of the Russian Federation (pension funds, insurers, private banks)</w:t>
      </w:r>
    </w:p>
    <w:p>
      <w:pPr>
        <w:pStyle w:val="ListBullet"/>
      </w:pPr>
      <w:r>
        <w:t>Private equity / venture capital funds (RF + EAEU + friendly jurisdictions)</w:t>
      </w:r>
    </w:p>
    <w:p>
      <w:pPr>
        <w:pStyle w:val="ListBullet"/>
      </w:pPr>
      <w:r>
        <w:t>Credit committees of development institutions (VEB.RF, Project Finance Factory)</w:t>
      </w:r>
    </w:p>
    <w:p>
      <w:pPr>
        <w:pStyle w:val="ListBullet"/>
      </w:pPr>
      <w:r>
        <w:t>Internal compliance committees of prospective Limited Partners</w:t>
      </w:r>
    </w:p>
    <w:p>
      <w:pPr>
        <w:pStyle w:val="Heading2"/>
      </w:pPr>
      <w:r>
        <w:t>2. Scope of Work</w:t>
      </w:r>
    </w:p>
    <w:p>
      <w:pPr>
        <w:pStyle w:val="Heading3"/>
      </w:pPr>
      <w:r>
        <w:t>2.1. Financial Due Diligence</w:t>
      </w:r>
    </w:p>
    <w:p>
      <w:pPr>
        <w:pStyle w:val="ListBullet"/>
      </w:pPr>
      <w:r>
        <w:rPr>
          <w:b/>
        </w:rPr>
        <w:t>Quality of Earnings (QoE):</w:t>
      </w:r>
      <w:r>
        <w:t xml:space="preserve"> review of the financial model over the 2027–2036 horizon plus a Gordon terminal value on a normalised cash flow. Identification of normalisations, one-offs, working-capital adjustments.</w:t>
      </w:r>
    </w:p>
    <w:p>
      <w:pPr>
        <w:pStyle w:val="ListBullet"/>
      </w:pPr>
      <w:r>
        <w:rPr>
          <w:b/>
        </w:rPr>
        <w:t>NPV / IRR / Payback verification:</w:t>
      </w:r>
      <w:r>
        <w:t xml:space="preserve"> independent recomputation of all key metrics (full NPV RUB 63.0 bn; project-level окупаемость 2,73 года; Payback 2.73 years; EM 12×) based on the source model in </w:t>
      </w:r>
      <w:r>
        <w:rPr>
          <w:rFonts w:ascii="Consolas" w:hAnsi="Consolas"/>
          <w:sz w:val="18"/>
        </w:rPr>
        <w:t>03_Финансовая_модель/</w:t>
      </w:r>
      <w:r>
        <w:t>.</w:t>
      </w:r>
    </w:p>
    <w:p>
      <w:pPr>
        <w:pStyle w:val="ListBullet"/>
      </w:pPr>
      <w:r>
        <w:rPr>
          <w:b/>
        </w:rPr>
        <w:t>WACC validation:</w:t>
      </w:r>
      <w:r>
        <w:t xml:space="preserve"> verification of the build-up structure (RF 14.73% + ERP×β 10.35% + Stage premium 1.5% + Liquidity premium 2.5% = 30%) against Damodaran May 2026, the CBR key rate, and OFZ market data.</w:t>
      </w:r>
    </w:p>
    <w:p>
      <w:pPr>
        <w:pStyle w:val="ListBullet"/>
      </w:pPr>
      <w:r>
        <w:rPr>
          <w:b/>
        </w:rPr>
        <w:t>Sensitivity &amp; scenario analysis:</w:t>
      </w:r>
      <w:r>
        <w:t xml:space="preserve"> an independent simulation (≥ 10,000 iterations; the project's own simulation runs 2,000 with a fixed seed), tornado diagram covering ≥ 8 drivers, cash-runway stress testing.</w:t>
      </w:r>
    </w:p>
    <w:p>
      <w:pPr>
        <w:pStyle w:val="ListBullet"/>
      </w:pPr>
      <w:r>
        <w:rPr>
          <w:b/>
        </w:rPr>
        <w:t>Comparable transactions:</w:t>
      </w:r>
      <w:r>
        <w:t xml:space="preserve"> triangulation of the valuation via Comparable Multiples (EV/Revenue, EV/EBITDA, EV/AUM) using PitchBook / Crunchbase / Refinitiv on 10+ comparable deals across DFA / fintech-operator / financial-marketplace segments.</w:t>
      </w:r>
    </w:p>
    <w:p>
      <w:pPr>
        <w:pStyle w:val="ListBullet"/>
      </w:pPr>
      <w:r>
        <w:rPr>
          <w:b/>
        </w:rPr>
        <w:t>Audit opinion:</w:t>
      </w:r>
      <w:r>
        <w:t xml:space="preserve"> on the reliability of source data and methodology, not on absolute fair value.</w:t>
      </w:r>
    </w:p>
    <w:p>
      <w:pPr>
        <w:pStyle w:val="Heading3"/>
      </w:pPr>
      <w:r>
        <w:t>2.2. Tax Due Diligence</w:t>
      </w:r>
    </w:p>
    <w:p>
      <w:pPr>
        <w:pStyle w:val="ListBullet"/>
      </w:pPr>
      <w:r>
        <w:t>Analysis of the tax position of the DFA operator under the current redaction of the Tax Code of the Russian Federation:</w:t>
      </w:r>
    </w:p>
    <w:p>
      <w:pPr>
        <w:pStyle w:val="ListBullet"/>
      </w:pPr>
      <w:r>
        <w:t>VAT: sub-paragraph 12.2 of paragraph 2 of Article 149 of the Tax Code (Federal Law No. 324-FZ of 31.07.2020) — exemption of DFA transactions.</w:t>
      </w:r>
    </w:p>
    <w:p>
      <w:pPr>
        <w:pStyle w:val="ListBullet"/>
      </w:pPr>
      <w:r>
        <w:t>Profit tax 20% — standard rate; IT preferential rate of 5% (until 31.12.2030) available with ≥ 70% IT revenue and IT accreditation.</w:t>
      </w:r>
    </w:p>
    <w:p>
      <w:pPr>
        <w:pStyle w:val="ListBullet"/>
      </w:pPr>
      <w:r>
        <w:t>Social contributions 30% (Tax Code, Chapter 34).</w:t>
      </w:r>
    </w:p>
    <w:p>
      <w:pPr>
        <w:pStyle w:val="ListBullet"/>
      </w:pPr>
      <w:r>
        <w:t>Property tax — none (intangible assets).</w:t>
      </w:r>
    </w:p>
    <w:p>
      <w:pPr>
        <w:pStyle w:val="ListBullet"/>
      </w:pPr>
      <w:r>
        <w:t>Structuring DFA transactions to optimise the tax load.</w:t>
      </w:r>
    </w:p>
    <w:p>
      <w:pPr>
        <w:pStyle w:val="ListBullet"/>
      </w:pPr>
      <w:r>
        <w:t>Analysis of tax risks under the wedge construction (Stage 1 without amendments vs Stage 2 package of four federal laws).</w:t>
      </w:r>
    </w:p>
    <w:p>
      <w:pPr>
        <w:pStyle w:val="ListBullet"/>
      </w:pPr>
      <w:r>
        <w:t>Trans-jurisdiction tax matters (FATCA / CRS) — where applicable for international LPs.</w:t>
      </w:r>
    </w:p>
    <w:p>
      <w:pPr>
        <w:pStyle w:val="Heading3"/>
      </w:pPr>
      <w:r>
        <w:t>2.3. IFRS-grade DCF review</w:t>
      </w:r>
    </w:p>
    <w:p>
      <w:pPr>
        <w:pStyle w:val="ListBullet"/>
      </w:pPr>
      <w:r>
        <w:t>Build an IFRS 13-compliant fair-value measurement framework for the project.</w:t>
      </w:r>
    </w:p>
    <w:p>
      <w:pPr>
        <w:pStyle w:val="ListBullet"/>
      </w:pPr>
      <w:r>
        <w:t>Apply Level-3 valuation hierarchy (unobservable inputs) with explicit disclosure of assumptions.</w:t>
      </w:r>
    </w:p>
    <w:p>
      <w:pPr>
        <w:pStyle w:val="ListBullet"/>
      </w:pPr>
      <w:r>
        <w:t>IFRS 16 lease-accounting impact on the OpEx curve (data centres, offices).</w:t>
      </w:r>
    </w:p>
    <w:p>
      <w:pPr>
        <w:pStyle w:val="ListBullet"/>
      </w:pPr>
      <w:r>
        <w:t>IFRS 9 financial-instruments classification — for DFA acting as financial assets.</w:t>
      </w:r>
    </w:p>
    <w:p>
      <w:pPr>
        <w:pStyle w:val="ListBullet"/>
      </w:pPr>
      <w:r>
        <w:t>IFRS 7 financial-instruments disclosure — risk-management framework.</w:t>
      </w:r>
    </w:p>
    <w:p>
      <w:pPr>
        <w:pStyle w:val="ListBullet"/>
      </w:pPr>
      <w:r>
        <w:t>IFRS 15 revenue recognition — for the commission model (5 streams: feeIssue, feeService, feePlatform, feeB2B, feeAppraisal).</w:t>
      </w:r>
    </w:p>
    <w:p>
      <w:pPr>
        <w:pStyle w:val="Heading3"/>
      </w:pPr>
      <w:r>
        <w:t>2.4. Fairness Opinion</w:t>
      </w:r>
    </w:p>
    <w:p>
      <w:pPr>
        <w:jc w:val="both"/>
      </w:pPr>
      <w:r>
        <w:t>An independent Fairness Opinion under the AICPA Statement on Standards for Valuation Services (SSVS-1) or IVSC International Valuation Standards 2026. The opinion must explicitly address:</w:t>
      </w:r>
    </w:p>
    <w:p>
      <w:pPr>
        <w:pStyle w:val="ListBullet"/>
      </w:pPr>
      <w:r>
        <w:t>Reasonableness of Pre-money USD 100% Base / Reasoned range USD 70–140M;</w:t>
      </w:r>
    </w:p>
    <w:p>
      <w:pPr>
        <w:pStyle w:val="ListBullet"/>
      </w:pPr>
      <w:r>
        <w:t>Cost of capital appropriateness (30% WACC RUB);</w:t>
      </w:r>
    </w:p>
    <w:p>
      <w:pPr>
        <w:pStyle w:val="ListBullet"/>
      </w:pPr>
      <w:r>
        <w:t>Going-concern assumption on cash-runway (peak negative cumulative RUB −2.1 bn);</w:t>
      </w:r>
    </w:p>
    <w:p>
      <w:pPr>
        <w:pStyle w:val="ListBullet"/>
      </w:pPr>
      <w:r>
        <w:t>Methodology choices (Gordon terminal value on a normalised cash flow, NPV vs comparable multiples, WACC build-up vs CAPM).</w:t>
      </w:r>
    </w:p>
    <w:p>
      <w:pPr>
        <w:pStyle w:val="Heading2"/>
      </w:pPr>
      <w:r>
        <w:t>3.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Inception Report (kick-off + workplan)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8–12 pp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T+10 days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Mid-term Findings (interim)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20–30 pp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T+30 days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Draft VDD Report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 + Excel workbook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T+45 days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Final VDD Report (LMA style)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60–120 pp + Datapack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days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Fairness Opinion (signed by Partner)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6–10 pp, signed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days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Q&amp;A management session (videoconference)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2–3 sessions × 2 hours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By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Investor presentation summary (board-deck friendly)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10–15 pp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days</w:t>
            </w:r>
          </w:p>
        </w:tc>
      </w:tr>
    </w:tbl>
    <w:p/>
    <w:p>
      <w:pPr>
        <w:jc w:val="both"/>
      </w:pPr>
      <w:r>
        <w:t>All deliverables — in Russian (primary) + English (executive summary + key findings).</w:t>
      </w:r>
    </w:p>
    <w:p>
      <w:pPr>
        <w:pStyle w:val="Heading2"/>
      </w:pPr>
      <w:r>
        <w:t>4. Quality and independence</w:t>
      </w:r>
    </w:p>
    <w:p>
      <w:pPr>
        <w:pStyle w:val="ListBullet"/>
      </w:pPr>
      <w:r>
        <w:t>The signing Partner must be certified under one of the following systems: ACA (ICAEW), CPA, CFA Charter, ASA (American Society of Appraisers).</w:t>
      </w:r>
    </w:p>
    <w:p>
      <w:pPr>
        <w:pStyle w:val="ListBullet"/>
      </w:pPr>
      <w:r>
        <w:t>Team — minimum 4 persons: Engagement Partner + Senior Manager + 2 Analysts; CVs are mandatory.</w:t>
      </w:r>
    </w:p>
    <w:p>
      <w:pPr>
        <w:pStyle w:val="ListBullet"/>
      </w:pPr>
      <w:r>
        <w:t>Conflict-of-interest disclosure (mandatory): check engagements with any parties related to the project (Atomyze JSC, VEB.RF, partner bank, Promsvyazbank, affiliated structures) over the last 36 months.</w:t>
      </w:r>
    </w:p>
    <w:p>
      <w:pPr>
        <w:pStyle w:val="ListBullet"/>
      </w:pPr>
      <w:r>
        <w:t>Insurance: Professional Indemnity Insurance coverage ≥ USD 5M.</w:t>
      </w:r>
    </w:p>
    <w:p>
      <w:pPr>
        <w:pStyle w:val="Heading2"/>
      </w:pPr>
      <w:r>
        <w:t>5. Budget and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Indicative budget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8–25M (RUB 9–28M incl. VAT)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Delivery time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6–10 weeks from kick-off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30% upfront / 40% mid-term / 30% upon acceptance of the Final Report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Penalty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0.1% per day of delay beyond the SLA, capped at 10% of the engagement fee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Languages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 (primary) + EN (executive summary)</w:t>
            </w:r>
          </w:p>
        </w:tc>
      </w:tr>
    </w:tbl>
    <w:p/>
    <w:p>
      <w:pPr>
        <w:pStyle w:val="Heading2"/>
      </w:pPr>
      <w:r>
        <w:t>6. List of invited tier-1 firms</w:t>
      </w:r>
    </w:p>
    <w:p>
      <w:pPr>
        <w:pStyle w:val="ListNumber"/>
      </w:pPr>
      <w:r>
        <w:rPr>
          <w:b/>
        </w:rPr>
        <w:t>KPMG (Russian Federation + a member firm in a friendly jurisdiction)</w:t>
      </w:r>
      <w:r>
        <w:t xml:space="preserve"> — leader in financial VDD for Russian fintech deals</w:t>
      </w:r>
    </w:p>
    <w:p>
      <w:pPr>
        <w:pStyle w:val="ListNumber"/>
      </w:pPr>
      <w:r>
        <w:rPr>
          <w:b/>
        </w:rPr>
        <w:t>Deloitte (Russian successor "Business Solutions and Technologies")</w:t>
      </w:r>
      <w:r>
        <w:t xml:space="preserve"> — strong expertise in 779-P / 259-FZ</w:t>
      </w:r>
    </w:p>
    <w:p>
      <w:pPr>
        <w:pStyle w:val="ListNumber"/>
      </w:pPr>
      <w:r>
        <w:rPr>
          <w:b/>
        </w:rPr>
        <w:t>EY (Russian successor "B1")</w:t>
      </w:r>
      <w:r>
        <w:t xml:space="preserve"> — tax DD on DFA (Article 34.2 of the Tax Code)</w:t>
      </w:r>
    </w:p>
    <w:p>
      <w:pPr>
        <w:pStyle w:val="ListNumber"/>
      </w:pPr>
      <w:r>
        <w:rPr>
          <w:b/>
        </w:rPr>
        <w:t>PwC (Russian successor "Technologies of Trust")</w:t>
      </w:r>
      <w:r>
        <w:t xml:space="preserve"> — IFRS-grade valuation</w:t>
      </w:r>
    </w:p>
    <w:p>
      <w:pPr>
        <w:pStyle w:val="ListNumber"/>
      </w:pPr>
      <w:r>
        <w:rPr>
          <w:b/>
        </w:rPr>
        <w:t>BDO / Unicon</w:t>
      </w:r>
      <w:r>
        <w:t xml:space="preserve"> — domestic tier-2 fallback (if all the Big Four decline)</w:t>
      </w:r>
    </w:p>
    <w:p>
      <w:pPr>
        <w:pStyle w:val="Heading2"/>
      </w:pPr>
      <w:r>
        <w:t>7. NDA + Data Room</w:t>
      </w:r>
    </w:p>
    <w:p>
      <w:pPr>
        <w:pStyle w:val="ListBullet"/>
      </w:pPr>
      <w:r>
        <w:t>NDA mutual + 5-year survival</w:t>
      </w:r>
    </w:p>
    <w:p>
      <w:pPr>
        <w:pStyle w:val="ListBullet"/>
      </w:pPr>
      <w:r>
        <w:t xml:space="preserve">Access to the Data Room in </w:t>
      </w:r>
      <w:r>
        <w:rPr>
          <w:rFonts w:ascii="Consolas" w:hAnsi="Consolas"/>
          <w:sz w:val="18"/>
        </w:rPr>
        <w:t>17_Data_room/</w:t>
      </w:r>
      <w:r>
        <w:t xml:space="preserve"> (Intralinks / Datasite canon)</w:t>
      </w:r>
    </w:p>
    <w:p>
      <w:pPr>
        <w:pStyle w:val="ListBullet"/>
      </w:pPr>
      <w:r>
        <w:t>Q&amp;A via a dedicated VDR tool (Datasite / Intralinks / Firmex)</w:t>
      </w:r>
    </w:p>
    <w:p>
      <w:pPr>
        <w:pStyle w:val="ListBullet"/>
      </w:pPr>
      <w:r>
        <w:t>Permission tiers: full / restricted / Q&amp;A-only</w:t>
      </w:r>
    </w:p>
    <w:p>
      <w:pPr>
        <w:pStyle w:val="Heading2"/>
      </w:pPr>
      <w:r>
        <w:t>8. Selection criteria (50/30/20)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Technical capability and track record on comparable deals (≥ 3 DFA DDs over 24 months)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Partner &amp; team (≥ 10 years' experience, CFA/ACA/CPA certifications)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Price and timing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20%</w:t>
            </w:r>
          </w:p>
        </w:tc>
      </w:tr>
    </w:tbl>
    <w:p/>
    <w:p>
      <w:pPr>
        <w:pStyle w:val="Heading2"/>
      </w:pPr>
      <w:r>
        <w:t>9. Submission</w:t>
      </w:r>
    </w:p>
    <w:p>
      <w:pPr>
        <w:pStyle w:val="ListBullet"/>
      </w:pPr>
      <w:r>
        <w:rPr>
          <w:b/>
        </w:rPr>
        <w:t>Email:</w:t>
      </w:r>
      <w:r>
        <w:t xml:space="preserve"> rsfsr-dd@centergroup.ru</w:t>
      </w:r>
    </w:p>
    <w:p>
      <w:pPr>
        <w:pStyle w:val="ListBullet"/>
      </w:pPr>
      <w:r>
        <w:rPr>
          <w:b/>
        </w:rPr>
        <w:t>Contact:</w:t>
      </w:r>
      <w:r>
        <w:t xml:space="preserve"> Abdul-Khakim Akhmadovich Kagirov, +7 (XXX) XXX-XX-XX</w:t>
      </w:r>
    </w:p>
    <w:p>
      <w:pPr>
        <w:pStyle w:val="ListBullet"/>
      </w:pPr>
      <w:r>
        <w:rPr>
          <w:b/>
        </w:rPr>
        <w:t>Bid format:</w:t>
      </w:r>
      <w:r>
        <w:t xml:space="preserve"> PDF in a single file, up to 30 pages, including proposal + CVs + price quote</w:t>
      </w:r>
    </w:p>
    <w:p>
      <w:pPr>
        <w:pStyle w:val="ListBullet"/>
      </w:pPr>
      <w:r>
        <w:rPr>
          <w:b/>
        </w:rPr>
        <w:t>Engagement Letter draft</w:t>
      </w:r>
      <w:r>
        <w:t xml:space="preserve"> — to be prepared after selection</w:t>
      </w:r>
    </w:p>
    <w:p>
      <w:pPr>
        <w:jc w:val="both"/>
      </w:pPr>
      <w:r>
        <w:rPr>
          <w:b/>
        </w:rPr>
        <w:t>Date:</w:t>
      </w:r>
      <w:r>
        <w:t xml:space="preserve"> 24.05.2026 </w:t>
      </w:r>
      <w:r>
        <w:rPr>
          <w:b/>
        </w:rPr>
        <w:t>Author and rightsholder:</w:t>
      </w:r>
      <w:r>
        <w:t xml:space="preserve"> A.-Kh. A. Kagirov (deposit certificate No. 4011265 of 19.12.2024) </w:t>
      </w:r>
      <w:r>
        <w:rPr>
          <w:b/>
        </w:rPr>
        <w:t>Engagement reference:</w:t>
      </w:r>
      <w:r>
        <w:t xml:space="preserve"> RSFSR-DD-2026</w:t>
      </w:r>
    </w:p>
    <w:p>
      <w:pPr>
        <w:jc w:val="both"/>
      </w:pPr>
      <w:r>
        <w:t>Center Group Company · correspondence address and contact details available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