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Modèle financier de la plateforme CP RSFSR</w:t>
      </w:r>
    </w:p>
    <w:p>
      <w:pPr>
        <w:ind w:left="360"/>
      </w:pPr>
      <w:r>
        <w:rPr>
          <w:b/>
          <w:i/>
          <w:color w:val="444444"/>
        </w:rPr>
        <w:t>Note.</w:t>
      </w:r>
      <w:r>
        <w:rPr>
          <w:i/>
          <w:color w:val="444444"/>
        </w:rPr>
        <w:t xml:space="preserve"> Ceci est une traduction de l’original russe. La partie financière est générée par le même moteur de calcul, les chiffres coïncident donc avec la version russe. En cas de divergence de formulation, la version russe fait foi.</w:t>
      </w:r>
    </w:p>
    <w:p>
      <w:pPr>
        <w:jc w:val="both"/>
      </w:pPr>
      <w:r>
        <w:rPr>
          <w:b/>
        </w:rPr>
        <w:t>Auteur et titulaire des droits :</w:t>
      </w:r>
      <w:r>
        <w:t xml:space="preserve"> Kagirov A.-Kh.A. Certificat de dépôt n° 4011265 du 19.12.2024 — fixation de la date de priorité et de l’empreinte de l’œuvre ; régime de protection : savoir-faire (art. 1465 du Code civil) et programme d’ordinateur (art. 1262 du Code civil ; enregistrement auprès de Rospatent en cours).</w:t>
      </w:r>
    </w:p>
    <w:p>
      <w:pPr>
        <w:jc w:val="both"/>
      </w:pPr>
      <w:r>
        <w:rPr>
          <w:b/>
        </w:rPr>
        <w:t>Édition :</w:t>
      </w:r>
      <w:r>
        <w:t xml:space="preserve"> v5 du 07.09.2026. </w:t>
      </w:r>
      <w:r>
        <w:rPr>
          <w:b/>
        </w:rPr>
        <w:t>Horizon :</w:t>
      </w:r>
      <w:r>
        <w:t xml:space="preserve"> 10 ans (2027–2036) plus valeur terminale. </w:t>
      </w:r>
      <w:r>
        <w:rPr>
          <w:b/>
        </w:rPr>
        <w:t>Date d’évaluation :</w:t>
      </w:r>
      <w:r>
        <w:t xml:space="preserve"> 31.12.2026. </w:t>
      </w:r>
      <w:r>
        <w:rPr>
          <w:b/>
        </w:rPr>
        <w:t>Monnaie :</w:t>
      </w:r>
      <w:r>
        <w:t xml:space="preserve"> roubles ; sauf indication contraire, M ₽.</w:t>
      </w:r>
    </w:p>
    <w:p>
      <w:pPr>
        <w:ind w:left="360"/>
      </w:pPr>
      <w:r>
        <w:rPr>
          <w:b/>
          <w:i/>
          <w:color w:val="444444"/>
        </w:rPr>
        <w:t>Tous les chiffres de ce document sont calculés par programme</w:t>
      </w:r>
      <w:r>
        <w:rPr>
          <w:i/>
          <w:color w:val="444444"/>
        </w:rPr>
        <w:t xml:space="preserve"> à partir d’un jeu unique d’hypothèses </w:t>
      </w:r>
      <w:r>
        <w:rPr>
          <w:rFonts w:ascii="Consolas" w:hAnsi="Consolas"/>
          <w:i/>
          <w:color w:val="444444"/>
          <w:sz w:val="18"/>
        </w:rPr>
        <w:t>Модель/assumptions.json</w:t>
      </w:r>
      <w:r>
        <w:rPr>
          <w:i/>
          <w:color w:val="444444"/>
        </w:rPr>
        <w:t xml:space="preserve">. Le document est assemblé par </w:t>
      </w:r>
      <w:r>
        <w:rPr>
          <w:rFonts w:ascii="Consolas" w:hAnsi="Consolas"/>
          <w:i/>
          <w:color w:val="444444"/>
          <w:sz w:val="18"/>
        </w:rPr>
        <w:t>Модель/собрать_документ_i18n.py</w:t>
      </w:r>
      <w:r>
        <w:rPr>
          <w:i/>
          <w:color w:val="444444"/>
        </w:rPr>
        <w:t xml:space="preserve"> ; les chiffres ne doivent pas être modifiés dans le texte — ils seraient écrasés à la prochaine génération. Export machine : </w:t>
      </w:r>
      <w:r>
        <w:rPr>
          <w:rFonts w:ascii="Consolas" w:hAnsi="Consolas"/>
          <w:i/>
          <w:color w:val="444444"/>
          <w:sz w:val="18"/>
        </w:rPr>
        <w:t>Модель/Выгрузка/*.csv</w:t>
      </w:r>
      <w:r>
        <w:rPr>
          <w:i/>
          <w:color w:val="444444"/>
        </w:rPr>
        <w:t>.</w:t>
      </w:r>
    </w:p>
    <w:p>
      <w:pPr>
        <w:ind w:left="360"/>
      </w:pPr>
      <w:r>
        <w:rPr>
          <w:b/>
          <w:i/>
          <w:color w:val="444444"/>
        </w:rPr>
        <w:t>Contrôle de cohérence réussi :</w:t>
      </w:r>
      <w:r>
        <w:rPr>
          <w:i/>
          <w:color w:val="444444"/>
        </w:rPr>
        <w:t xml:space="preserve"> le total du chiffre d’affaires est égal à la somme de ses lignes, les charges d’exploitation à la somme de la masse salariale et des autres charges, l’EBITDA au chiffre d’affaires diminué des charges d’exploitation, le flux de trésorerie disponible à l’EBITDA diminué de l’impôt, de la variation du besoin en fonds de roulement et des investissements, et la valeur d’entreprise à la somme des flux actualisés et de la valeur terminale actualisée.</w:t>
      </w:r>
    </w:p>
    <w:p>
      <w:pPr>
        <w:pStyle w:val="Heading2"/>
      </w:pPr>
      <w:r>
        <w:t>Ce qui a changé dans l’édition v5</w:t>
      </w:r>
    </w:p>
    <w:p>
      <w:pPr>
        <w:jc w:val="both"/>
      </w:pPr>
      <w:r>
        <w:t>L’édition v5 n’est pas une retouche cosmétique mais un recalcul. Voici ce qui a été corrigé sur le fond.</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Ce qui était</w:t>
            </w:r>
          </w:p>
        </w:tc>
        <w:tc>
          <w:tcPr>
            <w:tcW w:type="dxa" w:w="4320"/>
          </w:tcPr>
          <w:p>
            <w:r>
              <w:rPr>
                <w:b/>
                <w:sz w:val="17"/>
              </w:rPr>
            </w:r>
            <w:r>
              <w:rPr>
                <w:b/>
                <w:sz w:val="17"/>
              </w:rPr>
              <w:t>Ce qui est devenu et pourquoi</w:t>
            </w:r>
          </w:p>
        </w:tc>
      </w:tr>
      <w:tr>
        <w:tc>
          <w:tcPr>
            <w:tcW w:type="dxa" w:w="4320"/>
          </w:tcPr>
          <w:p>
            <w:r>
              <w:rPr>
                <w:sz w:val="17"/>
              </w:rPr>
            </w:r>
            <w:r>
              <w:rPr>
                <w:sz w:val="17"/>
              </w:rPr>
              <w:t>Le total du chiffre d’affaires ne correspondait pas à la somme de ses lignes (en 2034 les lignes donnaient 175 492 M ₽ pour un total annoncé de 137 905 M ₽)</w:t>
            </w:r>
          </w:p>
        </w:tc>
        <w:tc>
          <w:tcPr>
            <w:tcW w:type="dxa" w:w="4320"/>
          </w:tcPr>
          <w:p>
            <w:r>
              <w:rPr>
                <w:sz w:val="17"/>
              </w:rPr>
            </w:r>
            <w:r>
              <w:rPr>
                <w:sz w:val="17"/>
              </w:rPr>
              <w:t>Le total est calculé comme la somme des lignes. Tout écart est impossible par construction</w:t>
            </w:r>
          </w:p>
        </w:tc>
      </w:tr>
      <w:tr>
        <w:tc>
          <w:tcPr>
            <w:tcW w:type="dxa" w:w="4320"/>
          </w:tcPr>
          <w:p>
            <w:r>
              <w:rPr>
                <w:sz w:val="17"/>
              </w:rPr>
            </w:r>
            <w:r>
              <w:rPr>
                <w:sz w:val="17"/>
              </w:rPr>
              <w:t>Les services d’évaluation et d’assurance (0,8 % du volume) étaient comptabilisés en totalité comme produit de la plateforme, alors que les notes au modèle les qualifiaient de transitoires avec 85 % de charges en contrepartie</w:t>
            </w:r>
          </w:p>
        </w:tc>
        <w:tc>
          <w:tcPr>
            <w:tcW w:type="dxa" w:w="4320"/>
          </w:tcPr>
          <w:p>
            <w:r>
              <w:rPr>
                <w:sz w:val="17"/>
              </w:rPr>
            </w:r>
            <w:r>
              <w:rPr>
                <w:sz w:val="17"/>
              </w:rPr>
              <w:t>Comptabilisés en net : seule la marge propre de la plateforme (0,12 % du volume) entre dans le chiffre d’affaires. Les encaissements bruts figurent sur une ligne pour mémoire</w:t>
            </w:r>
          </w:p>
        </w:tc>
      </w:tr>
      <w:tr>
        <w:tc>
          <w:tcPr>
            <w:tcW w:type="dxa" w:w="4320"/>
          </w:tcPr>
          <w:p>
            <w:r>
              <w:rPr>
                <w:sz w:val="17"/>
              </w:rPr>
            </w:r>
            <w:r>
              <w:rPr>
                <w:sz w:val="17"/>
              </w:rPr>
              <w:t>Taux d’impôt sur les bénéfices de 20 %</w:t>
            </w:r>
          </w:p>
        </w:tc>
        <w:tc>
          <w:tcPr>
            <w:tcW w:type="dxa" w:w="4320"/>
          </w:tcPr>
          <w:p>
            <w:r>
              <w:rPr>
                <w:sz w:val="17"/>
              </w:rPr>
            </w:r>
            <w:r>
              <w:rPr>
                <w:sz w:val="17"/>
              </w:rPr>
              <w:t>25 % — depuis le 1er janvier 2025 (loi fédérale 176-FZ du 12.07.2024). L’ancien taux n’était plus en vigueur</w:t>
            </w:r>
          </w:p>
        </w:tc>
      </w:tr>
      <w:tr>
        <w:tc>
          <w:tcPr>
            <w:tcW w:type="dxa" w:w="4320"/>
          </w:tcPr>
          <w:p>
            <w:r>
              <w:rPr>
                <w:sz w:val="17"/>
              </w:rPr>
            </w:r>
            <w:r>
              <w:rPr>
                <w:sz w:val="17"/>
              </w:rPr>
              <w:t>Les pertes des premières années n’étaient pas reportées</w:t>
            </w:r>
          </w:p>
        </w:tc>
        <w:tc>
          <w:tcPr>
            <w:tcW w:type="dxa" w:w="4320"/>
          </w:tcPr>
          <w:p>
            <w:r>
              <w:rPr>
                <w:sz w:val="17"/>
              </w:rPr>
            </w:r>
            <w:r>
              <w:rPr>
                <w:sz w:val="17"/>
              </w:rPr>
              <w:t>Le report des pertes est pris en compte, plafonné à 50 % de la base imposable</w:t>
            </w:r>
          </w:p>
        </w:tc>
      </w:tr>
      <w:tr>
        <w:tc>
          <w:tcPr>
            <w:tcW w:type="dxa" w:w="4320"/>
          </w:tcPr>
          <w:p>
            <w:r>
              <w:rPr>
                <w:sz w:val="17"/>
              </w:rPr>
            </w:r>
            <w:r>
              <w:rPr>
                <w:sz w:val="17"/>
              </w:rPr>
              <w:t>La masse salariale n’était pas déduite de l’effectif et du salaire (la ligne 2029 supposait un effectif deux fois supérieur à celui annoncé, celle de 2026 deux fois inférieur)</w:t>
            </w:r>
          </w:p>
        </w:tc>
        <w:tc>
          <w:tcPr>
            <w:tcW w:type="dxa" w:w="4320"/>
          </w:tcPr>
          <w:p>
            <w:r>
              <w:rPr>
                <w:sz w:val="17"/>
              </w:rPr>
            </w:r>
            <w:r>
              <w:rPr>
                <w:sz w:val="17"/>
              </w:rPr>
              <w:t>Masse salariale = effectif × salaire × 12 × 1,30. Autres charges = une base indexée plus une part variable du chiffre d’affaires</w:t>
            </w:r>
          </w:p>
        </w:tc>
      </w:tr>
      <w:tr>
        <w:tc>
          <w:tcPr>
            <w:tcW w:type="dxa" w:w="4320"/>
          </w:tcPr>
          <w:p>
            <w:r>
              <w:rPr>
                <w:sz w:val="17"/>
              </w:rPr>
            </w:r>
            <w:r>
              <w:rPr>
                <w:sz w:val="17"/>
              </w:rPr>
              <w:t>L’horizon commençait en 2025 ; la première émission d’AFN était prévue pour 2026</w:t>
            </w:r>
          </w:p>
        </w:tc>
        <w:tc>
          <w:tcPr>
            <w:tcW w:type="dxa" w:w="4320"/>
          </w:tcPr>
          <w:p>
            <w:r>
              <w:rPr>
                <w:sz w:val="17"/>
              </w:rPr>
            </w:r>
            <w:r>
              <w:rPr>
                <w:sz w:val="17"/>
              </w:rPr>
              <w:t>Horizon 2027–2036. À la date du recalcul il n’existe ni licence d’opérateur de système d’information, ni cadre réglementaire, ni émission — la première émission est donc placée en 2028</w:t>
            </w:r>
          </w:p>
        </w:tc>
      </w:tr>
      <w:tr>
        <w:tc>
          <w:tcPr>
            <w:tcW w:type="dxa" w:w="4320"/>
          </w:tcPr>
          <w:p>
            <w:r>
              <w:rPr>
                <w:sz w:val="17"/>
              </w:rPr>
            </w:r>
            <w:r>
              <w:rPr>
                <w:sz w:val="17"/>
              </w:rPr>
              <w:t>La valeur terminale était calculée tantôt par Gordon avec g=2 %, tantôt par une méthode à trois phases ; le plan d’affaires indiquait g=4 %</w:t>
            </w:r>
          </w:p>
        </w:tc>
        <w:tc>
          <w:tcPr>
            <w:tcW w:type="dxa" w:w="4320"/>
          </w:tcPr>
          <w:p>
            <w:r>
              <w:rPr>
                <w:sz w:val="17"/>
              </w:rPr>
            </w:r>
            <w:r>
              <w:rPr>
                <w:sz w:val="17"/>
              </w:rPr>
              <w:t>Une seule méthode : Gordon sur un flux normalisé (investissements égalés à l’amortissement), g = 4 %</w:t>
            </w:r>
          </w:p>
        </w:tc>
      </w:tr>
      <w:tr>
        <w:tc>
          <w:tcPr>
            <w:tcW w:type="dxa" w:w="4320"/>
          </w:tcPr>
          <w:p>
            <w:r>
              <w:rPr>
                <w:sz w:val="17"/>
              </w:rPr>
            </w:r>
            <w:r>
              <w:rPr>
                <w:sz w:val="17"/>
              </w:rPr>
              <w:t>La série de flux de trésorerie du rapport d’évaluation ne découlait pas du compte de résultat (elle ignorait le besoin en fonds de roulement et comportait des résidus inexpliqués)</w:t>
            </w:r>
          </w:p>
        </w:tc>
        <w:tc>
          <w:tcPr>
            <w:tcW w:type="dxa" w:w="4320"/>
          </w:tcPr>
          <w:p>
            <w:r>
              <w:rPr>
                <w:sz w:val="17"/>
              </w:rPr>
            </w:r>
            <w:r>
              <w:rPr>
                <w:sz w:val="17"/>
              </w:rPr>
              <w:t>La série découle des comptes et est vérifiée par programme</w:t>
            </w:r>
          </w:p>
        </w:tc>
      </w:tr>
      <w:tr>
        <w:tc>
          <w:tcPr>
            <w:tcW w:type="dxa" w:w="4320"/>
          </w:tcPr>
          <w:p>
            <w:r>
              <w:rPr>
                <w:sz w:val="17"/>
              </w:rPr>
            </w:r>
            <w:r>
              <w:rPr>
                <w:sz w:val="17"/>
              </w:rPr>
              <w:t>La décote de stade de 60 % était appliquée deux fois : à l’intérieur de l’approche par les revenus, puis de nouveau sur la synthèse des méthodes</w:t>
            </w:r>
          </w:p>
        </w:tc>
        <w:tc>
          <w:tcPr>
            <w:tcW w:type="dxa" w:w="4320"/>
          </w:tcPr>
          <w:p>
            <w:r>
              <w:rPr>
                <w:sz w:val="17"/>
              </w:rPr>
            </w:r>
            <w:r>
              <w:rPr>
                <w:sz w:val="17"/>
              </w:rPr>
              <w:t>Appliquée une seule fois, et uniquement aux approches donnant la valeur d’une entreprise mature</w:t>
            </w:r>
          </w:p>
        </w:tc>
      </w:tr>
      <w:tr>
        <w:tc>
          <w:tcPr>
            <w:tcW w:type="dxa" w:w="4320"/>
          </w:tcPr>
          <w:p>
            <w:r>
              <w:rPr>
                <w:sz w:val="17"/>
              </w:rPr>
            </w:r>
            <w:r>
              <w:rPr>
                <w:sz w:val="17"/>
              </w:rPr>
              <w:t>Un délai de récupération de 2,8 ans alors que le flux cumulé franchissait zéro la quatrième année</w:t>
            </w:r>
          </w:p>
        </w:tc>
        <w:tc>
          <w:tcPr>
            <w:tcW w:type="dxa" w:w="4320"/>
          </w:tcPr>
          <w:p>
            <w:r>
              <w:rPr>
                <w:sz w:val="17"/>
              </w:rPr>
            </w:r>
            <w:r>
              <w:rPr>
                <w:sz w:val="17"/>
              </w:rPr>
              <w:t>Calculé par programme : 2,73 ans en simple, 3,05 ans en actualisé</w:t>
            </w:r>
          </w:p>
        </w:tc>
      </w:tr>
    </w:tbl>
    <w:p/>
    <w:p>
      <w:pPr>
        <w:pStyle w:val="Heading2"/>
      </w:pPr>
      <w:r>
        <w:t>Feuille 1. Hypothèses</w:t>
      </w:r>
    </w:p>
    <w:p>
      <w:pPr>
        <w:pStyle w:val="Heading3"/>
      </w:pPr>
      <w:r>
        <w:t>1.1. Paramètres macroéconomiques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Paramètre</w:t>
            </w:r>
          </w:p>
        </w:tc>
        <w:tc>
          <w:tcPr>
            <w:tcW w:type="dxa" w:w="2880"/>
          </w:tcPr>
          <w:p>
            <w:r>
              <w:rPr>
                <w:b/>
                <w:sz w:val="17"/>
              </w:rPr>
            </w:r>
            <w:r>
              <w:rPr>
                <w:b/>
                <w:sz w:val="17"/>
              </w:rPr>
              <w:t>Valeur</w:t>
            </w:r>
          </w:p>
        </w:tc>
        <w:tc>
          <w:tcPr>
            <w:tcW w:type="dxa" w:w="2880"/>
          </w:tcPr>
          <w:p>
            <w:r>
              <w:rPr>
                <w:b/>
                <w:sz w:val="17"/>
              </w:rPr>
            </w:r>
            <w:r>
              <w:rPr>
                <w:b/>
                <w:sz w:val="17"/>
              </w:rPr>
              <w:t>Source et date</w:t>
            </w:r>
          </w:p>
        </w:tc>
      </w:tr>
      <w:tr>
        <w:tc>
          <w:tcPr>
            <w:tcW w:type="dxa" w:w="2880"/>
          </w:tcPr>
          <w:p>
            <w:r>
              <w:rPr>
                <w:sz w:val="17"/>
              </w:rPr>
            </w:r>
            <w:r>
              <w:rPr>
                <w:sz w:val="17"/>
              </w:rPr>
              <w:t>Taux directeur de la Banque de Russie</w:t>
            </w:r>
          </w:p>
        </w:tc>
        <w:tc>
          <w:tcPr>
            <w:tcW w:type="dxa" w:w="2880"/>
          </w:tcPr>
          <w:p>
            <w:r>
              <w:rPr>
                <w:sz w:val="17"/>
              </w:rPr>
            </w:r>
            <w:r>
              <w:rPr>
                <w:sz w:val="17"/>
              </w:rPr>
              <w:t>14,00 %</w:t>
            </w:r>
          </w:p>
        </w:tc>
        <w:tc>
          <w:tcPr>
            <w:tcW w:type="dxa" w:w="2880"/>
          </w:tcPr>
          <w:p>
            <w:r>
              <w:rPr>
                <w:sz w:val="17"/>
              </w:rPr>
            </w:r>
            <w:r>
              <w:rPr>
                <w:sz w:val="17"/>
              </w:rPr>
              <w:t>décision du Conseil d’administration du 07.09.2026</w:t>
            </w:r>
          </w:p>
        </w:tc>
      </w:tr>
      <w:tr>
        <w:tc>
          <w:tcPr>
            <w:tcW w:type="dxa" w:w="2880"/>
          </w:tcPr>
          <w:p>
            <w:r>
              <w:rPr>
                <w:sz w:val="17"/>
              </w:rPr>
            </w:r>
            <w:r>
              <w:rPr>
                <w:sz w:val="17"/>
              </w:rPr>
              <w:t>Rendement des OFZ à 10 ans</w:t>
            </w:r>
          </w:p>
        </w:tc>
        <w:tc>
          <w:tcPr>
            <w:tcW w:type="dxa" w:w="2880"/>
          </w:tcPr>
          <w:p>
            <w:r>
              <w:rPr>
                <w:sz w:val="17"/>
              </w:rPr>
            </w:r>
            <w:r>
              <w:rPr>
                <w:sz w:val="17"/>
              </w:rPr>
              <w:t>14,73 %</w:t>
            </w:r>
          </w:p>
        </w:tc>
        <w:tc>
          <w:tcPr>
            <w:tcW w:type="dxa" w:w="2880"/>
          </w:tcPr>
          <w:p>
            <w:r>
              <w:rPr>
                <w:sz w:val="17"/>
              </w:rPr>
            </w:r>
            <w:r>
              <w:rPr>
                <w:sz w:val="17"/>
              </w:rPr>
              <w:t>données de marché au 21.05.2026</w:t>
            </w:r>
          </w:p>
        </w:tc>
      </w:tr>
      <w:tr>
        <w:tc>
          <w:tcPr>
            <w:tcW w:type="dxa" w:w="2880"/>
          </w:tcPr>
          <w:p>
            <w:r>
              <w:rPr>
                <w:sz w:val="17"/>
              </w:rPr>
            </w:r>
            <w:r>
              <w:rPr>
                <w:sz w:val="17"/>
              </w:rPr>
              <w:t>Prime de risque des actions</w:t>
            </w:r>
          </w:p>
        </w:tc>
        <w:tc>
          <w:tcPr>
            <w:tcW w:type="dxa" w:w="2880"/>
          </w:tcPr>
          <w:p>
            <w:r>
              <w:rPr>
                <w:sz w:val="17"/>
              </w:rPr>
            </w:r>
            <w:r>
              <w:rPr>
                <w:sz w:val="17"/>
              </w:rPr>
              <w:t>8,13 %</w:t>
            </w:r>
          </w:p>
        </w:tc>
        <w:tc>
          <w:tcPr>
            <w:tcW w:type="dxa" w:w="2880"/>
          </w:tcPr>
          <w:p>
            <w:r>
              <w:rPr>
                <w:sz w:val="17"/>
              </w:rPr>
            </w:r>
            <w:r>
              <w:rPr>
                <w:sz w:val="17"/>
              </w:rPr>
              <w:t>Damodaran</w:t>
            </w:r>
          </w:p>
        </w:tc>
      </w:tr>
      <w:tr>
        <w:tc>
          <w:tcPr>
            <w:tcW w:type="dxa" w:w="2880"/>
          </w:tcPr>
          <w:p>
            <w:r>
              <w:rPr>
                <w:sz w:val="17"/>
              </w:rPr>
            </w:r>
            <w:r>
              <w:rPr>
                <w:sz w:val="17"/>
              </w:rPr>
              <w:t>Bêta (services financiers)</w:t>
            </w:r>
          </w:p>
        </w:tc>
        <w:tc>
          <w:tcPr>
            <w:tcW w:type="dxa" w:w="2880"/>
          </w:tcPr>
          <w:p>
            <w:r>
              <w:rPr>
                <w:sz w:val="17"/>
              </w:rPr>
            </w:r>
            <w:r>
              <w:rPr>
                <w:sz w:val="17"/>
              </w:rPr>
              <w:t>1,15</w:t>
            </w:r>
          </w:p>
        </w:tc>
        <w:tc>
          <w:tcPr>
            <w:tcW w:type="dxa" w:w="2880"/>
          </w:tcPr>
          <w:p>
            <w:r>
              <w:rPr>
                <w:sz w:val="17"/>
              </w:rPr>
            </w:r>
            <w:r>
              <w:rPr>
                <w:sz w:val="17"/>
              </w:rPr>
              <w:t>Damodaran</w:t>
            </w:r>
          </w:p>
        </w:tc>
      </w:tr>
      <w:tr>
        <w:tc>
          <w:tcPr>
            <w:tcW w:type="dxa" w:w="2880"/>
          </w:tcPr>
          <w:p>
            <w:r>
              <w:rPr>
                <w:sz w:val="17"/>
              </w:rPr>
            </w:r>
            <w:r>
              <w:rPr>
                <w:sz w:val="17"/>
              </w:rPr>
              <w:t>Prime de stade</w:t>
            </w:r>
          </w:p>
        </w:tc>
        <w:tc>
          <w:tcPr>
            <w:tcW w:type="dxa" w:w="2880"/>
          </w:tcPr>
          <w:p>
            <w:r>
              <w:rPr>
                <w:sz w:val="17"/>
              </w:rPr>
            </w:r>
            <w:r>
              <w:rPr>
                <w:sz w:val="17"/>
              </w:rPr>
              <w:t>2,50 %</w:t>
            </w:r>
          </w:p>
        </w:tc>
        <w:tc>
          <w:tcPr>
            <w:tcW w:type="dxa" w:w="2880"/>
          </w:tcPr>
          <w:p>
            <w:r>
              <w:rPr>
                <w:sz w:val="17"/>
              </w:rPr>
            </w:r>
            <w:r>
              <w:rPr>
                <w:sz w:val="17"/>
              </w:rPr>
              <w:t>IPEV Guidelines</w:t>
            </w:r>
          </w:p>
        </w:tc>
      </w:tr>
      <w:tr>
        <w:tc>
          <w:tcPr>
            <w:tcW w:type="dxa" w:w="2880"/>
          </w:tcPr>
          <w:p>
            <w:r>
              <w:rPr>
                <w:sz w:val="17"/>
              </w:rPr>
            </w:r>
            <w:r>
              <w:rPr>
                <w:sz w:val="17"/>
              </w:rPr>
              <w:t>Prime d’illiquidité</w:t>
            </w:r>
          </w:p>
        </w:tc>
        <w:tc>
          <w:tcPr>
            <w:tcW w:type="dxa" w:w="2880"/>
          </w:tcPr>
          <w:p>
            <w:r>
              <w:rPr>
                <w:sz w:val="17"/>
              </w:rPr>
            </w:r>
            <w:r>
              <w:rPr>
                <w:sz w:val="17"/>
              </w:rPr>
              <w:t>3,00 %</w:t>
            </w:r>
          </w:p>
        </w:tc>
        <w:tc>
          <w:tcPr>
            <w:tcW w:type="dxa" w:w="2880"/>
          </w:tcPr>
          <w:p>
            <w:r>
              <w:rPr>
                <w:sz w:val="17"/>
              </w:rPr>
            </w:r>
            <w:r>
              <w:rPr>
                <w:sz w:val="17"/>
              </w:rPr>
              <w:t>IPEV Guidelines</w:t>
            </w:r>
          </w:p>
        </w:tc>
      </w:tr>
      <w:tr>
        <w:tc>
          <w:tcPr>
            <w:tcW w:type="dxa" w:w="2880"/>
          </w:tcPr>
          <w:p>
            <w:r>
              <w:rPr>
                <w:sz w:val="17"/>
              </w:rPr>
            </w:r>
            <w:r>
              <w:rPr>
                <w:b/>
                <w:sz w:val="17"/>
              </w:rPr>
              <w:t>Taux d’actualisation (CMPC)</w:t>
            </w:r>
          </w:p>
        </w:tc>
        <w:tc>
          <w:tcPr>
            <w:tcW w:type="dxa" w:w="2880"/>
          </w:tcPr>
          <w:p>
            <w:r>
              <w:rPr>
                <w:sz w:val="17"/>
              </w:rPr>
            </w:r>
            <w:r>
              <w:rPr>
                <w:b/>
                <w:sz w:val="17"/>
              </w:rPr>
              <w:t>29,58 %</w:t>
            </w:r>
          </w:p>
        </w:tc>
        <w:tc>
          <w:tcPr>
            <w:tcW w:type="dxa" w:w="2880"/>
          </w:tcPr>
          <w:p>
            <w:r>
              <w:rPr>
                <w:sz w:val="17"/>
              </w:rPr>
            </w:r>
            <w:r>
              <w:rPr>
                <w:sz w:val="17"/>
              </w:rPr>
              <w:t>somme des composantes</w:t>
            </w:r>
          </w:p>
        </w:tc>
      </w:tr>
      <w:tr>
        <w:tc>
          <w:tcPr>
            <w:tcW w:type="dxa" w:w="2880"/>
          </w:tcPr>
          <w:p>
            <w:r>
              <w:rPr>
                <w:sz w:val="17"/>
              </w:rPr>
            </w:r>
            <w:r>
              <w:rPr>
                <w:sz w:val="17"/>
              </w:rPr>
              <w:t>Cible d’inflation</w:t>
            </w:r>
          </w:p>
        </w:tc>
        <w:tc>
          <w:tcPr>
            <w:tcW w:type="dxa" w:w="2880"/>
          </w:tcPr>
          <w:p>
            <w:r>
              <w:rPr>
                <w:sz w:val="17"/>
              </w:rPr>
            </w:r>
            <w:r>
              <w:rPr>
                <w:sz w:val="17"/>
              </w:rPr>
              <w:t>4 %</w:t>
            </w:r>
          </w:p>
        </w:tc>
        <w:tc>
          <w:tcPr>
            <w:tcW w:type="dxa" w:w="2880"/>
          </w:tcPr>
          <w:p>
            <w:r>
              <w:rPr>
                <w:sz w:val="17"/>
              </w:rPr>
            </w:r>
            <w:r>
              <w:rPr>
                <w:sz w:val="17"/>
              </w:rPr>
              <w:t>référence de la Banque de Russie</w:t>
            </w:r>
          </w:p>
        </w:tc>
      </w:tr>
      <w:tr>
        <w:tc>
          <w:tcPr>
            <w:tcW w:type="dxa" w:w="2880"/>
          </w:tcPr>
          <w:p>
            <w:r>
              <w:rPr>
                <w:sz w:val="17"/>
              </w:rPr>
            </w:r>
            <w:r>
              <w:rPr>
                <w:sz w:val="17"/>
              </w:rPr>
              <w:t>Cours USD/RUB</w:t>
            </w:r>
          </w:p>
        </w:tc>
        <w:tc>
          <w:tcPr>
            <w:tcW w:type="dxa" w:w="2880"/>
          </w:tcPr>
          <w:p>
            <w:r>
              <w:rPr>
                <w:sz w:val="17"/>
              </w:rPr>
            </w:r>
            <w:r>
              <w:rPr>
                <w:sz w:val="17"/>
              </w:rPr>
              <w:t>71,55</w:t>
            </w:r>
          </w:p>
        </w:tc>
        <w:tc>
          <w:tcPr>
            <w:tcW w:type="dxa" w:w="2880"/>
          </w:tcPr>
          <w:p>
            <w:r>
              <w:rPr>
                <w:sz w:val="17"/>
              </w:rPr>
            </w:r>
            <w:r>
              <w:rPr>
                <w:sz w:val="17"/>
              </w:rPr>
              <w:t>cours officiel au 26.05.2026</w:t>
            </w:r>
          </w:p>
        </w:tc>
      </w:tr>
    </w:tbl>
    <w:p/>
    <w:p>
      <w:pPr>
        <w:ind w:left="360"/>
      </w:pPr>
      <w:r>
        <w:rPr>
          <w:i/>
          <w:color w:val="444444"/>
        </w:rPr>
        <w:t>Le taux directeur a été mis à jour au 07.09.2026. Le rendement des OFZ à 10 ans et le cours de change sont figés à mai 2026 et doivent être actualisés à la date des négociations avant toute présentation à un investisseur extérieur. Le taux directeur n’influe pas sur le taux d’actualisation : celui-ci est construit sur le rendement des OFZ, le taux directeur ne servant que de contrôle.</w:t>
      </w:r>
    </w:p>
    <w:p>
      <w:pPr>
        <w:pStyle w:val="Heading3"/>
      </w:pPr>
      <w:r>
        <w:t>1.2. Marché</w:t>
      </w:r>
    </w:p>
    <w:p>
      <w:pPr>
        <w:jc w:val="both"/>
      </w:pPr>
      <w:r>
        <w:t xml:space="preserve">Capacité de nantissement du marché en 2025 — </w:t>
      </w:r>
      <w:r>
        <w:rPr>
          <w:b/>
        </w:rPr>
        <w:t>25 000 Md ₽</w:t>
      </w:r>
      <w:r>
        <w:t xml:space="preserve"> : 10 % des actifs mobilisés, valorisés à des fins de nantissement à 50 % de la valeur de marché, sur l’ensemble du parc de logements, de l’immobilier commercial et des terrains (507 000 Md ₽). Indexation — 4 % par an.</w:t>
      </w:r>
    </w:p>
    <w:p>
      <w:pPr>
        <w:jc w:val="both"/>
      </w:pPr>
      <w:r>
        <w:t>L’encours en circulation est la somme des émissions des 5 dernières années (durée de vie moyenne d’une émission).</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Paramètre</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Capacité de nantissement, Md ₽</w:t>
            </w:r>
          </w:p>
        </w:tc>
        <w:tc>
          <w:tcPr>
            <w:tcW w:type="dxa" w:w="785"/>
          </w:tcPr>
          <w:p>
            <w:r>
              <w:rPr>
                <w:sz w:val="17"/>
              </w:rPr>
            </w:r>
            <w:r>
              <w:rPr>
                <w:sz w:val="17"/>
              </w:rPr>
              <w:t>27 040</w:t>
            </w:r>
          </w:p>
        </w:tc>
        <w:tc>
          <w:tcPr>
            <w:tcW w:type="dxa" w:w="785"/>
          </w:tcPr>
          <w:p>
            <w:r>
              <w:rPr>
                <w:sz w:val="17"/>
              </w:rPr>
            </w:r>
            <w:r>
              <w:rPr>
                <w:sz w:val="17"/>
              </w:rPr>
              <w:t>28 122</w:t>
            </w:r>
          </w:p>
        </w:tc>
        <w:tc>
          <w:tcPr>
            <w:tcW w:type="dxa" w:w="785"/>
          </w:tcPr>
          <w:p>
            <w:r>
              <w:rPr>
                <w:sz w:val="17"/>
              </w:rPr>
            </w:r>
            <w:r>
              <w:rPr>
                <w:sz w:val="17"/>
              </w:rPr>
              <w:t>29 246</w:t>
            </w:r>
          </w:p>
        </w:tc>
        <w:tc>
          <w:tcPr>
            <w:tcW w:type="dxa" w:w="785"/>
          </w:tcPr>
          <w:p>
            <w:r>
              <w:rPr>
                <w:sz w:val="17"/>
              </w:rPr>
            </w:r>
            <w:r>
              <w:rPr>
                <w:sz w:val="17"/>
              </w:rPr>
              <w:t>30 416</w:t>
            </w:r>
          </w:p>
        </w:tc>
        <w:tc>
          <w:tcPr>
            <w:tcW w:type="dxa" w:w="785"/>
          </w:tcPr>
          <w:p>
            <w:r>
              <w:rPr>
                <w:sz w:val="17"/>
              </w:rPr>
            </w:r>
            <w:r>
              <w:rPr>
                <w:sz w:val="17"/>
              </w:rPr>
              <w:t>31 633</w:t>
            </w:r>
          </w:p>
        </w:tc>
        <w:tc>
          <w:tcPr>
            <w:tcW w:type="dxa" w:w="785"/>
          </w:tcPr>
          <w:p>
            <w:r>
              <w:rPr>
                <w:sz w:val="17"/>
              </w:rPr>
            </w:r>
            <w:r>
              <w:rPr>
                <w:sz w:val="17"/>
              </w:rPr>
              <w:t>32 898</w:t>
            </w:r>
          </w:p>
        </w:tc>
        <w:tc>
          <w:tcPr>
            <w:tcW w:type="dxa" w:w="785"/>
          </w:tcPr>
          <w:p>
            <w:r>
              <w:rPr>
                <w:sz w:val="17"/>
              </w:rPr>
            </w:r>
            <w:r>
              <w:rPr>
                <w:sz w:val="17"/>
              </w:rPr>
              <w:t>34 214</w:t>
            </w:r>
          </w:p>
        </w:tc>
        <w:tc>
          <w:tcPr>
            <w:tcW w:type="dxa" w:w="785"/>
          </w:tcPr>
          <w:p>
            <w:r>
              <w:rPr>
                <w:sz w:val="17"/>
              </w:rPr>
            </w:r>
            <w:r>
              <w:rPr>
                <w:sz w:val="17"/>
              </w:rPr>
              <w:t>35 583</w:t>
            </w:r>
          </w:p>
        </w:tc>
        <w:tc>
          <w:tcPr>
            <w:tcW w:type="dxa" w:w="785"/>
          </w:tcPr>
          <w:p>
            <w:r>
              <w:rPr>
                <w:sz w:val="17"/>
              </w:rPr>
            </w:r>
            <w:r>
              <w:rPr>
                <w:sz w:val="17"/>
              </w:rPr>
              <w:t>37 006</w:t>
            </w:r>
          </w:p>
        </w:tc>
        <w:tc>
          <w:tcPr>
            <w:tcW w:type="dxa" w:w="785"/>
          </w:tcPr>
          <w:p>
            <w:r>
              <w:rPr>
                <w:sz w:val="17"/>
              </w:rPr>
            </w:r>
            <w:r>
              <w:rPr>
                <w:sz w:val="17"/>
              </w:rPr>
              <w:t>38 486</w:t>
            </w:r>
          </w:p>
        </w:tc>
      </w:tr>
      <w:tr>
        <w:tc>
          <w:tcPr>
            <w:tcW w:type="dxa" w:w="785"/>
          </w:tcPr>
          <w:p>
            <w:r>
              <w:rPr>
                <w:sz w:val="17"/>
              </w:rPr>
            </w:r>
            <w:r>
              <w:rPr>
                <w:sz w:val="17"/>
              </w:rPr>
              <w:t>Part de la plateforme, %</w:t>
            </w:r>
          </w:p>
        </w:tc>
        <w:tc>
          <w:tcPr>
            <w:tcW w:type="dxa" w:w="785"/>
          </w:tcPr>
          <w:p>
            <w:r>
              <w:rPr>
                <w:sz w:val="17"/>
              </w:rPr>
            </w:r>
            <w:r>
              <w:rPr>
                <w:sz w:val="17"/>
              </w:rPr>
              <w:t>0,00</w:t>
            </w:r>
          </w:p>
        </w:tc>
        <w:tc>
          <w:tcPr>
            <w:tcW w:type="dxa" w:w="785"/>
          </w:tcPr>
          <w:p>
            <w:r>
              <w:rPr>
                <w:sz w:val="17"/>
              </w:rPr>
            </w:r>
            <w:r>
              <w:rPr>
                <w:sz w:val="17"/>
              </w:rPr>
              <w:t>0,40</w:t>
            </w:r>
          </w:p>
        </w:tc>
        <w:tc>
          <w:tcPr>
            <w:tcW w:type="dxa" w:w="785"/>
          </w:tcPr>
          <w:p>
            <w:r>
              <w:rPr>
                <w:sz w:val="17"/>
              </w:rPr>
            </w:r>
            <w:r>
              <w:rPr>
                <w:sz w:val="17"/>
              </w:rPr>
              <w:t>1,80</w:t>
            </w:r>
          </w:p>
        </w:tc>
        <w:tc>
          <w:tcPr>
            <w:tcW w:type="dxa" w:w="785"/>
          </w:tcPr>
          <w:p>
            <w:r>
              <w:rPr>
                <w:sz w:val="17"/>
              </w:rPr>
            </w:r>
            <w:r>
              <w:rPr>
                <w:sz w:val="17"/>
              </w:rPr>
              <w:t>4,40</w:t>
            </w:r>
          </w:p>
        </w:tc>
        <w:tc>
          <w:tcPr>
            <w:tcW w:type="dxa" w:w="785"/>
          </w:tcPr>
          <w:p>
            <w:r>
              <w:rPr>
                <w:sz w:val="17"/>
              </w:rPr>
            </w:r>
            <w:r>
              <w:rPr>
                <w:sz w:val="17"/>
              </w:rPr>
              <w:t>8,80</w:t>
            </w:r>
          </w:p>
        </w:tc>
        <w:tc>
          <w:tcPr>
            <w:tcW w:type="dxa" w:w="785"/>
          </w:tcPr>
          <w:p>
            <w:r>
              <w:rPr>
                <w:sz w:val="17"/>
              </w:rPr>
            </w:r>
            <w:r>
              <w:rPr>
                <w:sz w:val="17"/>
              </w:rPr>
              <w:t>10,80</w:t>
            </w:r>
          </w:p>
        </w:tc>
        <w:tc>
          <w:tcPr>
            <w:tcW w:type="dxa" w:w="785"/>
          </w:tcPr>
          <w:p>
            <w:r>
              <w:rPr>
                <w:sz w:val="17"/>
              </w:rPr>
            </w:r>
            <w:r>
              <w:rPr>
                <w:sz w:val="17"/>
              </w:rPr>
              <w:t>12,60</w:t>
            </w:r>
          </w:p>
        </w:tc>
        <w:tc>
          <w:tcPr>
            <w:tcW w:type="dxa" w:w="785"/>
          </w:tcPr>
          <w:p>
            <w:r>
              <w:rPr>
                <w:sz w:val="17"/>
              </w:rPr>
            </w:r>
            <w:r>
              <w:rPr>
                <w:sz w:val="17"/>
              </w:rPr>
              <w:t>14,40</w:t>
            </w:r>
          </w:p>
        </w:tc>
        <w:tc>
          <w:tcPr>
            <w:tcW w:type="dxa" w:w="785"/>
          </w:tcPr>
          <w:p>
            <w:r>
              <w:rPr>
                <w:sz w:val="17"/>
              </w:rPr>
            </w:r>
            <w:r>
              <w:rPr>
                <w:sz w:val="17"/>
              </w:rPr>
              <w:t>16,20</w:t>
            </w:r>
          </w:p>
        </w:tc>
        <w:tc>
          <w:tcPr>
            <w:tcW w:type="dxa" w:w="785"/>
          </w:tcPr>
          <w:p>
            <w:r>
              <w:rPr>
                <w:sz w:val="17"/>
              </w:rPr>
            </w:r>
            <w:r>
              <w:rPr>
                <w:sz w:val="17"/>
              </w:rPr>
              <w:t>18,00</w:t>
            </w:r>
          </w:p>
        </w:tc>
      </w:tr>
      <w:tr>
        <w:tc>
          <w:tcPr>
            <w:tcW w:type="dxa" w:w="785"/>
          </w:tcPr>
          <w:p>
            <w:r>
              <w:rPr>
                <w:sz w:val="17"/>
              </w:rPr>
            </w:r>
            <w:r>
              <w:rPr>
                <w:sz w:val="17"/>
              </w:rPr>
              <w:t>Émission d’AFN, M ₽</w:t>
            </w:r>
          </w:p>
        </w:tc>
        <w:tc>
          <w:tcPr>
            <w:tcW w:type="dxa" w:w="785"/>
          </w:tcPr>
          <w:p>
            <w:r>
              <w:rPr>
                <w:sz w:val="17"/>
              </w:rPr>
            </w:r>
            <w:r>
              <w:rPr>
                <w:sz w:val="17"/>
              </w:rPr>
              <w:t>0</w:t>
            </w:r>
          </w:p>
        </w:tc>
        <w:tc>
          <w:tcPr>
            <w:tcW w:type="dxa" w:w="785"/>
          </w:tcPr>
          <w:p>
            <w:r>
              <w:rPr>
                <w:sz w:val="17"/>
              </w:rPr>
            </w:r>
            <w:r>
              <w:rPr>
                <w:sz w:val="17"/>
              </w:rPr>
              <w:t>112 486</w:t>
            </w:r>
          </w:p>
        </w:tc>
        <w:tc>
          <w:tcPr>
            <w:tcW w:type="dxa" w:w="785"/>
          </w:tcPr>
          <w:p>
            <w:r>
              <w:rPr>
                <w:sz w:val="17"/>
              </w:rPr>
            </w:r>
            <w:r>
              <w:rPr>
                <w:sz w:val="17"/>
              </w:rPr>
              <w:t>526 436</w:t>
            </w:r>
          </w:p>
        </w:tc>
        <w:tc>
          <w:tcPr>
            <w:tcW w:type="dxa" w:w="785"/>
          </w:tcPr>
          <w:p>
            <w:r>
              <w:rPr>
                <w:sz w:val="17"/>
              </w:rPr>
            </w:r>
            <w:r>
              <w:rPr>
                <w:sz w:val="17"/>
              </w:rPr>
              <w:t>1 338 318</w:t>
            </w:r>
          </w:p>
        </w:tc>
        <w:tc>
          <w:tcPr>
            <w:tcW w:type="dxa" w:w="785"/>
          </w:tcPr>
          <w:p>
            <w:r>
              <w:rPr>
                <w:sz w:val="17"/>
              </w:rPr>
            </w:r>
            <w:r>
              <w:rPr>
                <w:sz w:val="17"/>
              </w:rPr>
              <w:t>2 783 702</w:t>
            </w:r>
          </w:p>
        </w:tc>
        <w:tc>
          <w:tcPr>
            <w:tcW w:type="dxa" w:w="785"/>
          </w:tcPr>
          <w:p>
            <w:r>
              <w:rPr>
                <w:sz w:val="17"/>
              </w:rPr>
            </w:r>
            <w:r>
              <w:rPr>
                <w:sz w:val="17"/>
              </w:rPr>
              <w:t>3 553 016</w:t>
            </w:r>
          </w:p>
        </w:tc>
        <w:tc>
          <w:tcPr>
            <w:tcW w:type="dxa" w:w="785"/>
          </w:tcPr>
          <w:p>
            <w:r>
              <w:rPr>
                <w:sz w:val="17"/>
              </w:rPr>
            </w:r>
            <w:r>
              <w:rPr>
                <w:sz w:val="17"/>
              </w:rPr>
              <w:t>4 310 993</w:t>
            </w:r>
          </w:p>
        </w:tc>
        <w:tc>
          <w:tcPr>
            <w:tcW w:type="dxa" w:w="785"/>
          </w:tcPr>
          <w:p>
            <w:r>
              <w:rPr>
                <w:sz w:val="17"/>
              </w:rPr>
            </w:r>
            <w:r>
              <w:rPr>
                <w:sz w:val="17"/>
              </w:rPr>
              <w:t>5 123 923</w:t>
            </w:r>
          </w:p>
        </w:tc>
        <w:tc>
          <w:tcPr>
            <w:tcW w:type="dxa" w:w="785"/>
          </w:tcPr>
          <w:p>
            <w:r>
              <w:rPr>
                <w:sz w:val="17"/>
              </w:rPr>
            </w:r>
            <w:r>
              <w:rPr>
                <w:sz w:val="17"/>
              </w:rPr>
              <w:t>5 994 989</w:t>
            </w:r>
          </w:p>
        </w:tc>
        <w:tc>
          <w:tcPr>
            <w:tcW w:type="dxa" w:w="785"/>
          </w:tcPr>
          <w:p>
            <w:r>
              <w:rPr>
                <w:sz w:val="17"/>
              </w:rPr>
            </w:r>
            <w:r>
              <w:rPr>
                <w:sz w:val="17"/>
              </w:rPr>
              <w:t>6 927 543</w:t>
            </w:r>
          </w:p>
        </w:tc>
      </w:tr>
      <w:tr>
        <w:tc>
          <w:tcPr>
            <w:tcW w:type="dxa" w:w="785"/>
          </w:tcPr>
          <w:p>
            <w:r>
              <w:rPr>
                <w:sz w:val="17"/>
              </w:rPr>
            </w:r>
            <w:r>
              <w:rPr>
                <w:sz w:val="17"/>
              </w:rPr>
              <w:t>Encours en circulation, M ₽</w:t>
            </w:r>
          </w:p>
        </w:tc>
        <w:tc>
          <w:tcPr>
            <w:tcW w:type="dxa" w:w="785"/>
          </w:tcPr>
          <w:p>
            <w:r>
              <w:rPr>
                <w:sz w:val="17"/>
              </w:rPr>
            </w:r>
            <w:r>
              <w:rPr>
                <w:sz w:val="17"/>
              </w:rPr>
              <w:t>0</w:t>
            </w:r>
          </w:p>
        </w:tc>
        <w:tc>
          <w:tcPr>
            <w:tcW w:type="dxa" w:w="785"/>
          </w:tcPr>
          <w:p>
            <w:r>
              <w:rPr>
                <w:sz w:val="17"/>
              </w:rPr>
            </w:r>
            <w:r>
              <w:rPr>
                <w:sz w:val="17"/>
              </w:rPr>
              <w:t>112 486</w:t>
            </w:r>
          </w:p>
        </w:tc>
        <w:tc>
          <w:tcPr>
            <w:tcW w:type="dxa" w:w="785"/>
          </w:tcPr>
          <w:p>
            <w:r>
              <w:rPr>
                <w:sz w:val="17"/>
              </w:rPr>
            </w:r>
            <w:r>
              <w:rPr>
                <w:sz w:val="17"/>
              </w:rPr>
              <w:t>638 923</w:t>
            </w:r>
          </w:p>
        </w:tc>
        <w:tc>
          <w:tcPr>
            <w:tcW w:type="dxa" w:w="785"/>
          </w:tcPr>
          <w:p>
            <w:r>
              <w:rPr>
                <w:sz w:val="17"/>
              </w:rPr>
            </w:r>
            <w:r>
              <w:rPr>
                <w:sz w:val="17"/>
              </w:rPr>
              <w:t>1 977 241</w:t>
            </w:r>
          </w:p>
        </w:tc>
        <w:tc>
          <w:tcPr>
            <w:tcW w:type="dxa" w:w="785"/>
          </w:tcPr>
          <w:p>
            <w:r>
              <w:rPr>
                <w:sz w:val="17"/>
              </w:rPr>
            </w:r>
            <w:r>
              <w:rPr>
                <w:sz w:val="17"/>
              </w:rPr>
              <w:t>4 760 943</w:t>
            </w:r>
          </w:p>
        </w:tc>
        <w:tc>
          <w:tcPr>
            <w:tcW w:type="dxa" w:w="785"/>
          </w:tcPr>
          <w:p>
            <w:r>
              <w:rPr>
                <w:sz w:val="17"/>
              </w:rPr>
            </w:r>
            <w:r>
              <w:rPr>
                <w:sz w:val="17"/>
              </w:rPr>
              <w:t>8 313 959</w:t>
            </w:r>
          </w:p>
        </w:tc>
        <w:tc>
          <w:tcPr>
            <w:tcW w:type="dxa" w:w="785"/>
          </w:tcPr>
          <w:p>
            <w:r>
              <w:rPr>
                <w:sz w:val="17"/>
              </w:rPr>
            </w:r>
            <w:r>
              <w:rPr>
                <w:sz w:val="17"/>
              </w:rPr>
              <w:t>12 512 465</w:t>
            </w:r>
          </w:p>
        </w:tc>
        <w:tc>
          <w:tcPr>
            <w:tcW w:type="dxa" w:w="785"/>
          </w:tcPr>
          <w:p>
            <w:r>
              <w:rPr>
                <w:sz w:val="17"/>
              </w:rPr>
            </w:r>
            <w:r>
              <w:rPr>
                <w:sz w:val="17"/>
              </w:rPr>
              <w:t>17 109 951</w:t>
            </w:r>
          </w:p>
        </w:tc>
        <w:tc>
          <w:tcPr>
            <w:tcW w:type="dxa" w:w="785"/>
          </w:tcPr>
          <w:p>
            <w:r>
              <w:rPr>
                <w:sz w:val="17"/>
              </w:rPr>
            </w:r>
            <w:r>
              <w:rPr>
                <w:sz w:val="17"/>
              </w:rPr>
              <w:t>21 766 622</w:t>
            </w:r>
          </w:p>
        </w:tc>
        <w:tc>
          <w:tcPr>
            <w:tcW w:type="dxa" w:w="785"/>
          </w:tcPr>
          <w:p>
            <w:r>
              <w:rPr>
                <w:sz w:val="17"/>
              </w:rPr>
            </w:r>
            <w:r>
              <w:rPr>
                <w:sz w:val="17"/>
              </w:rPr>
              <w:t>25 910 463</w:t>
            </w:r>
          </w:p>
        </w:tc>
      </w:tr>
    </w:tbl>
    <w:p/>
    <w:p>
      <w:pPr>
        <w:ind w:left="360"/>
      </w:pPr>
      <w:r>
        <w:rPr>
          <w:i/>
          <w:color w:val="444444"/>
        </w:rPr>
        <w:t>La trajectoire de part de marché est l’hypothèse clé de l’auteur et la principale source d’incertitude du modèle. Elle n’est corroborée par rien d’extérieur : ni pilote, ni contrats, ni projet comparable. Tout le reste du modèle est de l’arithmétique dérivée de cette ligne.</w:t>
      </w:r>
    </w:p>
    <w:p>
      <w:pPr>
        <w:pStyle w:val="Heading3"/>
      </w:pPr>
      <w:r>
        <w:t>1.3. Tarifs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Ligne</w:t>
            </w:r>
          </w:p>
        </w:tc>
        <w:tc>
          <w:tcPr>
            <w:tcW w:type="dxa" w:w="2880"/>
          </w:tcPr>
          <w:p>
            <w:r>
              <w:rPr>
                <w:b/>
                <w:sz w:val="17"/>
              </w:rPr>
            </w:r>
            <w:r>
              <w:rPr>
                <w:b/>
                <w:sz w:val="17"/>
              </w:rPr>
              <w:t>Taux</w:t>
            </w:r>
          </w:p>
        </w:tc>
        <w:tc>
          <w:tcPr>
            <w:tcW w:type="dxa" w:w="2880"/>
          </w:tcPr>
          <w:p>
            <w:r>
              <w:rPr>
                <w:b/>
                <w:sz w:val="17"/>
              </w:rPr>
            </w:r>
            <w:r>
              <w:rPr>
                <w:b/>
                <w:sz w:val="17"/>
              </w:rPr>
              <w:t>Assiette</w:t>
            </w:r>
          </w:p>
        </w:tc>
      </w:tr>
      <w:tr>
        <w:tc>
          <w:tcPr>
            <w:tcW w:type="dxa" w:w="2880"/>
          </w:tcPr>
          <w:p>
            <w:r>
              <w:rPr>
                <w:sz w:val="17"/>
              </w:rPr>
            </w:r>
            <w:r>
              <w:rPr>
                <w:sz w:val="17"/>
              </w:rPr>
              <w:t>Commission d’émission</w:t>
            </w:r>
          </w:p>
        </w:tc>
        <w:tc>
          <w:tcPr>
            <w:tcW w:type="dxa" w:w="2880"/>
          </w:tcPr>
          <w:p>
            <w:r>
              <w:rPr>
                <w:sz w:val="17"/>
              </w:rPr>
            </w:r>
            <w:r>
              <w:rPr>
                <w:sz w:val="17"/>
              </w:rPr>
              <w:t>0,50 %</w:t>
            </w:r>
          </w:p>
        </w:tc>
        <w:tc>
          <w:tcPr>
            <w:tcW w:type="dxa" w:w="2880"/>
          </w:tcPr>
          <w:p>
            <w:r>
              <w:rPr>
                <w:sz w:val="17"/>
              </w:rPr>
            </w:r>
            <w:r>
              <w:rPr>
                <w:sz w:val="17"/>
              </w:rPr>
              <w:t>volume d’émission annuel</w:t>
            </w:r>
          </w:p>
        </w:tc>
      </w:tr>
      <w:tr>
        <w:tc>
          <w:tcPr>
            <w:tcW w:type="dxa" w:w="2880"/>
          </w:tcPr>
          <w:p>
            <w:r>
              <w:rPr>
                <w:sz w:val="17"/>
              </w:rPr>
            </w:r>
            <w:r>
              <w:rPr>
                <w:sz w:val="17"/>
              </w:rPr>
              <w:t>Commission de service</w:t>
            </w:r>
          </w:p>
        </w:tc>
        <w:tc>
          <w:tcPr>
            <w:tcW w:type="dxa" w:w="2880"/>
          </w:tcPr>
          <w:p>
            <w:r>
              <w:rPr>
                <w:sz w:val="17"/>
              </w:rPr>
            </w:r>
            <w:r>
              <w:rPr>
                <w:sz w:val="17"/>
              </w:rPr>
              <w:t>0,30 %</w:t>
            </w:r>
          </w:p>
        </w:tc>
        <w:tc>
          <w:tcPr>
            <w:tcW w:type="dxa" w:w="2880"/>
          </w:tcPr>
          <w:p>
            <w:r>
              <w:rPr>
                <w:sz w:val="17"/>
              </w:rPr>
            </w:r>
            <w:r>
              <w:rPr>
                <w:sz w:val="17"/>
              </w:rPr>
              <w:t>encours en circulation</w:t>
            </w:r>
          </w:p>
        </w:tc>
      </w:tr>
      <w:tr>
        <w:tc>
          <w:tcPr>
            <w:tcW w:type="dxa" w:w="2880"/>
          </w:tcPr>
          <w:p>
            <w:r>
              <w:rPr>
                <w:sz w:val="17"/>
              </w:rPr>
            </w:r>
            <w:r>
              <w:rPr>
                <w:sz w:val="17"/>
              </w:rPr>
              <w:t>Redevance de plateforme</w:t>
            </w:r>
          </w:p>
        </w:tc>
        <w:tc>
          <w:tcPr>
            <w:tcW w:type="dxa" w:w="2880"/>
          </w:tcPr>
          <w:p>
            <w:r>
              <w:rPr>
                <w:sz w:val="17"/>
              </w:rPr>
            </w:r>
            <w:r>
              <w:rPr>
                <w:sz w:val="17"/>
              </w:rPr>
              <w:t>0,15 %</w:t>
            </w:r>
          </w:p>
        </w:tc>
        <w:tc>
          <w:tcPr>
            <w:tcW w:type="dxa" w:w="2880"/>
          </w:tcPr>
          <w:p>
            <w:r>
              <w:rPr>
                <w:sz w:val="17"/>
              </w:rPr>
            </w:r>
            <w:r>
              <w:rPr>
                <w:sz w:val="17"/>
              </w:rPr>
              <w:t>volume d’émission</w:t>
            </w:r>
          </w:p>
        </w:tc>
      </w:tr>
      <w:tr>
        <w:tc>
          <w:tcPr>
            <w:tcW w:type="dxa" w:w="2880"/>
          </w:tcPr>
          <w:p>
            <w:r>
              <w:rPr>
                <w:sz w:val="17"/>
              </w:rPr>
            </w:r>
            <w:r>
              <w:rPr>
                <w:sz w:val="17"/>
              </w:rPr>
              <w:t>Licences B2B2G</w:t>
            </w:r>
          </w:p>
        </w:tc>
        <w:tc>
          <w:tcPr>
            <w:tcW w:type="dxa" w:w="2880"/>
          </w:tcPr>
          <w:p>
            <w:r>
              <w:rPr>
                <w:sz w:val="17"/>
              </w:rPr>
            </w:r>
            <w:r>
              <w:rPr>
                <w:sz w:val="17"/>
              </w:rPr>
              <w:t>de 0 à 0,15 %</w:t>
            </w:r>
          </w:p>
        </w:tc>
        <w:tc>
          <w:tcPr>
            <w:tcW w:type="dxa" w:w="2880"/>
          </w:tcPr>
          <w:p>
            <w:r>
              <w:rPr>
                <w:sz w:val="17"/>
              </w:rPr>
            </w:r>
            <w:r>
              <w:rPr>
                <w:sz w:val="17"/>
              </w:rPr>
              <w:t>volume d’émission</w:t>
            </w:r>
          </w:p>
        </w:tc>
      </w:tr>
      <w:tr>
        <w:tc>
          <w:tcPr>
            <w:tcW w:type="dxa" w:w="2880"/>
          </w:tcPr>
          <w:p>
            <w:r>
              <w:rPr>
                <w:sz w:val="17"/>
              </w:rPr>
            </w:r>
            <w:r>
              <w:rPr>
                <w:sz w:val="17"/>
              </w:rPr>
              <w:t>Intégrations technologiques</w:t>
            </w:r>
          </w:p>
        </w:tc>
        <w:tc>
          <w:tcPr>
            <w:tcW w:type="dxa" w:w="2880"/>
          </w:tcPr>
          <w:p>
            <w:r>
              <w:rPr>
                <w:sz w:val="17"/>
              </w:rPr>
            </w:r>
            <w:r>
              <w:rPr>
                <w:sz w:val="17"/>
              </w:rPr>
              <w:t>de 50 à 1 150 M ₽</w:t>
            </w:r>
          </w:p>
        </w:tc>
        <w:tc>
          <w:tcPr>
            <w:tcW w:type="dxa" w:w="2880"/>
          </w:tcPr>
          <w:p>
            <w:r>
              <w:rPr>
                <w:sz w:val="17"/>
              </w:rPr>
            </w:r>
            <w:r>
              <w:rPr>
                <w:sz w:val="17"/>
              </w:rPr>
              <w:t>paiements fixes de raccordement</w:t>
            </w:r>
          </w:p>
        </w:tc>
      </w:tr>
      <w:tr>
        <w:tc>
          <w:tcPr>
            <w:tcW w:type="dxa" w:w="2880"/>
          </w:tcPr>
          <w:p>
            <w:r>
              <w:rPr>
                <w:sz w:val="17"/>
              </w:rPr>
            </w:r>
            <w:r>
              <w:rPr>
                <w:sz w:val="17"/>
              </w:rPr>
              <w:t>Évaluation et assurance — tarif brut</w:t>
            </w:r>
          </w:p>
        </w:tc>
        <w:tc>
          <w:tcPr>
            <w:tcW w:type="dxa" w:w="2880"/>
          </w:tcPr>
          <w:p>
            <w:r>
              <w:rPr>
                <w:sz w:val="17"/>
              </w:rPr>
            </w:r>
            <w:r>
              <w:rPr>
                <w:sz w:val="17"/>
              </w:rPr>
              <w:t>0,80 %</w:t>
            </w:r>
          </w:p>
        </w:tc>
        <w:tc>
          <w:tcPr>
            <w:tcW w:type="dxa" w:w="2880"/>
          </w:tcPr>
          <w:p>
            <w:r>
              <w:rPr>
                <w:sz w:val="17"/>
              </w:rPr>
            </w:r>
            <w:r>
              <w:rPr>
                <w:sz w:val="17"/>
              </w:rPr>
              <w:t>volume d’émission</w:t>
            </w:r>
          </w:p>
        </w:tc>
      </w:tr>
      <w:tr>
        <w:tc>
          <w:tcPr>
            <w:tcW w:type="dxa" w:w="2880"/>
          </w:tcPr>
          <w:p>
            <w:r>
              <w:rPr>
                <w:sz w:val="17"/>
              </w:rPr>
            </w:r>
            <w:r>
              <w:rPr>
                <w:sz w:val="17"/>
              </w:rPr>
              <w:t>Évaluation et assurance — charges en contrepartie</w:t>
            </w:r>
          </w:p>
        </w:tc>
        <w:tc>
          <w:tcPr>
            <w:tcW w:type="dxa" w:w="2880"/>
          </w:tcPr>
          <w:p>
            <w:r>
              <w:rPr>
                <w:sz w:val="17"/>
              </w:rPr>
            </w:r>
            <w:r>
              <w:rPr>
                <w:sz w:val="17"/>
              </w:rPr>
              <w:t>85 %</w:t>
            </w:r>
          </w:p>
        </w:tc>
        <w:tc>
          <w:tcPr>
            <w:tcW w:type="dxa" w:w="2880"/>
          </w:tcPr>
          <w:p>
            <w:r>
              <w:rPr>
                <w:sz w:val="17"/>
              </w:rPr>
            </w:r>
            <w:r>
              <w:rPr>
                <w:sz w:val="17"/>
              </w:rPr>
              <w:t>du tarif brut</w:t>
            </w:r>
          </w:p>
        </w:tc>
      </w:tr>
      <w:tr>
        <w:tc>
          <w:tcPr>
            <w:tcW w:type="dxa" w:w="2880"/>
          </w:tcPr>
          <w:p>
            <w:r>
              <w:rPr>
                <w:sz w:val="17"/>
              </w:rPr>
            </w:r>
            <w:r>
              <w:rPr>
                <w:b/>
                <w:sz w:val="17"/>
              </w:rPr>
              <w:t>Évaluation et assurance — marge propre</w:t>
            </w:r>
          </w:p>
        </w:tc>
        <w:tc>
          <w:tcPr>
            <w:tcW w:type="dxa" w:w="2880"/>
          </w:tcPr>
          <w:p>
            <w:r>
              <w:rPr>
                <w:sz w:val="17"/>
              </w:rPr>
            </w:r>
            <w:r>
              <w:rPr>
                <w:b/>
                <w:sz w:val="17"/>
              </w:rPr>
              <w:t>0,12 %</w:t>
            </w:r>
          </w:p>
        </w:tc>
        <w:tc>
          <w:tcPr>
            <w:tcW w:type="dxa" w:w="2880"/>
          </w:tcPr>
          <w:p>
            <w:r>
              <w:rPr>
                <w:sz w:val="17"/>
              </w:rPr>
            </w:r>
            <w:r>
              <w:rPr>
                <w:sz w:val="17"/>
              </w:rPr>
              <w:t>volume d’émission ; seule cette part entre dans le chiffre d’affaires</w:t>
            </w:r>
          </w:p>
        </w:tc>
      </w:tr>
    </w:tbl>
    <w:p/>
    <w:p>
      <w:pPr>
        <w:pStyle w:val="Heading3"/>
      </w:pPr>
      <w:r>
        <w:t>1.4. Charges</w:t>
      </w:r>
    </w:p>
    <w:p>
      <w:pPr>
        <w:jc w:val="both"/>
      </w:pPr>
      <w:r>
        <w:t>La masse salariale est calculée comme effectif × salaire moyen × 12 × 1,30 (cotisations sociales 30 %). Salaire de la première année — 350 k₽ par mois, indexé à 6 % par an.</w:t>
      </w:r>
    </w:p>
    <w:p>
      <w:pPr>
        <w:jc w:val="both"/>
      </w:pPr>
      <w:r>
        <w:t>Autres charges d’exploitation = une base de 502 M ₽ indexée à 4 % par an, plus une part variable de 22 % du chiffre d’affaires. La part variable couvre l’acquisition de paiement, l’infrastructure en charge, la conformité, la cybersécurité, l’accompagnement juridique et l’acquisition de clients ; son niveau est calibré pour que la marge de l’année de maturité se situe au niveau d’opérateurs d’infrastructure comparables.</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Paramètre</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Effectif</w:t>
            </w:r>
          </w:p>
        </w:tc>
        <w:tc>
          <w:tcPr>
            <w:tcW w:type="dxa" w:w="785"/>
          </w:tcPr>
          <w:p>
            <w:r>
              <w:rPr>
                <w:sz w:val="17"/>
              </w:rPr>
            </w:r>
            <w:r>
              <w:rPr>
                <w:sz w:val="17"/>
              </w:rPr>
              <w:t>40</w:t>
            </w:r>
          </w:p>
        </w:tc>
        <w:tc>
          <w:tcPr>
            <w:tcW w:type="dxa" w:w="785"/>
          </w:tcPr>
          <w:p>
            <w:r>
              <w:rPr>
                <w:sz w:val="17"/>
              </w:rPr>
            </w:r>
            <w:r>
              <w:rPr>
                <w:sz w:val="17"/>
              </w:rPr>
              <w:t>120</w:t>
            </w:r>
          </w:p>
        </w:tc>
        <w:tc>
          <w:tcPr>
            <w:tcW w:type="dxa" w:w="785"/>
          </w:tcPr>
          <w:p>
            <w:r>
              <w:rPr>
                <w:sz w:val="17"/>
              </w:rPr>
            </w:r>
            <w:r>
              <w:rPr>
                <w:sz w:val="17"/>
              </w:rPr>
              <w:t>160</w:t>
            </w:r>
          </w:p>
        </w:tc>
        <w:tc>
          <w:tcPr>
            <w:tcW w:type="dxa" w:w="785"/>
          </w:tcPr>
          <w:p>
            <w:r>
              <w:rPr>
                <w:sz w:val="17"/>
              </w:rPr>
            </w:r>
            <w:r>
              <w:rPr>
                <w:sz w:val="17"/>
              </w:rPr>
              <w:t>200</w:t>
            </w:r>
          </w:p>
        </w:tc>
        <w:tc>
          <w:tcPr>
            <w:tcW w:type="dxa" w:w="785"/>
          </w:tcPr>
          <w:p>
            <w:r>
              <w:rPr>
                <w:sz w:val="17"/>
              </w:rPr>
            </w:r>
            <w:r>
              <w:rPr>
                <w:sz w:val="17"/>
              </w:rPr>
              <w:t>240</w:t>
            </w:r>
          </w:p>
        </w:tc>
        <w:tc>
          <w:tcPr>
            <w:tcW w:type="dxa" w:w="785"/>
          </w:tcPr>
          <w:p>
            <w:r>
              <w:rPr>
                <w:sz w:val="17"/>
              </w:rPr>
            </w:r>
            <w:r>
              <w:rPr>
                <w:sz w:val="17"/>
              </w:rPr>
              <w:t>270</w:t>
            </w:r>
          </w:p>
        </w:tc>
        <w:tc>
          <w:tcPr>
            <w:tcW w:type="dxa" w:w="785"/>
          </w:tcPr>
          <w:p>
            <w:r>
              <w:rPr>
                <w:sz w:val="17"/>
              </w:rPr>
            </w:r>
            <w:r>
              <w:rPr>
                <w:sz w:val="17"/>
              </w:rPr>
              <w:t>300</w:t>
            </w:r>
          </w:p>
        </w:tc>
        <w:tc>
          <w:tcPr>
            <w:tcW w:type="dxa" w:w="785"/>
          </w:tcPr>
          <w:p>
            <w:r>
              <w:rPr>
                <w:sz w:val="17"/>
              </w:rPr>
            </w:r>
            <w:r>
              <w:rPr>
                <w:sz w:val="17"/>
              </w:rPr>
              <w:t>330</w:t>
            </w:r>
          </w:p>
        </w:tc>
        <w:tc>
          <w:tcPr>
            <w:tcW w:type="dxa" w:w="785"/>
          </w:tcPr>
          <w:p>
            <w:r>
              <w:rPr>
                <w:sz w:val="17"/>
              </w:rPr>
            </w:r>
            <w:r>
              <w:rPr>
                <w:sz w:val="17"/>
              </w:rPr>
              <w:t>350</w:t>
            </w:r>
          </w:p>
        </w:tc>
        <w:tc>
          <w:tcPr>
            <w:tcW w:type="dxa" w:w="785"/>
          </w:tcPr>
          <w:p>
            <w:r>
              <w:rPr>
                <w:sz w:val="17"/>
              </w:rPr>
            </w:r>
            <w:r>
              <w:rPr>
                <w:sz w:val="17"/>
              </w:rPr>
              <w:t>370</w:t>
            </w:r>
          </w:p>
        </w:tc>
      </w:tr>
      <w:tr>
        <w:tc>
          <w:tcPr>
            <w:tcW w:type="dxa" w:w="785"/>
          </w:tcPr>
          <w:p>
            <w:r>
              <w:rPr>
                <w:sz w:val="17"/>
              </w:rPr>
            </w:r>
            <w:r>
              <w:rPr>
                <w:sz w:val="17"/>
              </w:rPr>
              <w:t>Salaire moyen, k₽/mois</w:t>
            </w:r>
          </w:p>
        </w:tc>
        <w:tc>
          <w:tcPr>
            <w:tcW w:type="dxa" w:w="785"/>
          </w:tcPr>
          <w:p>
            <w:r>
              <w:rPr>
                <w:sz w:val="17"/>
              </w:rPr>
            </w:r>
            <w:r>
              <w:rPr>
                <w:sz w:val="17"/>
              </w:rPr>
              <w:t>350,0</w:t>
            </w:r>
          </w:p>
        </w:tc>
        <w:tc>
          <w:tcPr>
            <w:tcW w:type="dxa" w:w="785"/>
          </w:tcPr>
          <w:p>
            <w:r>
              <w:rPr>
                <w:sz w:val="17"/>
              </w:rPr>
            </w:r>
            <w:r>
              <w:rPr>
                <w:sz w:val="17"/>
              </w:rPr>
              <w:t>371,0</w:t>
            </w:r>
          </w:p>
        </w:tc>
        <w:tc>
          <w:tcPr>
            <w:tcW w:type="dxa" w:w="785"/>
          </w:tcPr>
          <w:p>
            <w:r>
              <w:rPr>
                <w:sz w:val="17"/>
              </w:rPr>
            </w:r>
            <w:r>
              <w:rPr>
                <w:sz w:val="17"/>
              </w:rPr>
              <w:t>393,3</w:t>
            </w:r>
          </w:p>
        </w:tc>
        <w:tc>
          <w:tcPr>
            <w:tcW w:type="dxa" w:w="785"/>
          </w:tcPr>
          <w:p>
            <w:r>
              <w:rPr>
                <w:sz w:val="17"/>
              </w:rPr>
            </w:r>
            <w:r>
              <w:rPr>
                <w:sz w:val="17"/>
              </w:rPr>
              <w:t>416,9</w:t>
            </w:r>
          </w:p>
        </w:tc>
        <w:tc>
          <w:tcPr>
            <w:tcW w:type="dxa" w:w="785"/>
          </w:tcPr>
          <w:p>
            <w:r>
              <w:rPr>
                <w:sz w:val="17"/>
              </w:rPr>
            </w:r>
            <w:r>
              <w:rPr>
                <w:sz w:val="17"/>
              </w:rPr>
              <w:t>441,9</w:t>
            </w:r>
          </w:p>
        </w:tc>
        <w:tc>
          <w:tcPr>
            <w:tcW w:type="dxa" w:w="785"/>
          </w:tcPr>
          <w:p>
            <w:r>
              <w:rPr>
                <w:sz w:val="17"/>
              </w:rPr>
            </w:r>
            <w:r>
              <w:rPr>
                <w:sz w:val="17"/>
              </w:rPr>
              <w:t>468,4</w:t>
            </w:r>
          </w:p>
        </w:tc>
        <w:tc>
          <w:tcPr>
            <w:tcW w:type="dxa" w:w="785"/>
          </w:tcPr>
          <w:p>
            <w:r>
              <w:rPr>
                <w:sz w:val="17"/>
              </w:rPr>
            </w:r>
            <w:r>
              <w:rPr>
                <w:sz w:val="17"/>
              </w:rPr>
              <w:t>496,5</w:t>
            </w:r>
          </w:p>
        </w:tc>
        <w:tc>
          <w:tcPr>
            <w:tcW w:type="dxa" w:w="785"/>
          </w:tcPr>
          <w:p>
            <w:r>
              <w:rPr>
                <w:sz w:val="17"/>
              </w:rPr>
            </w:r>
            <w:r>
              <w:rPr>
                <w:sz w:val="17"/>
              </w:rPr>
              <w:t>526,3</w:t>
            </w:r>
          </w:p>
        </w:tc>
        <w:tc>
          <w:tcPr>
            <w:tcW w:type="dxa" w:w="785"/>
          </w:tcPr>
          <w:p>
            <w:r>
              <w:rPr>
                <w:sz w:val="17"/>
              </w:rPr>
            </w:r>
            <w:r>
              <w:rPr>
                <w:sz w:val="17"/>
              </w:rPr>
              <w:t>557,8</w:t>
            </w:r>
          </w:p>
        </w:tc>
        <w:tc>
          <w:tcPr>
            <w:tcW w:type="dxa" w:w="785"/>
          </w:tcPr>
          <w:p>
            <w:r>
              <w:rPr>
                <w:sz w:val="17"/>
              </w:rPr>
            </w:r>
            <w:r>
              <w:rPr>
                <w:sz w:val="17"/>
              </w:rPr>
              <w:t>591,3</w:t>
            </w:r>
          </w:p>
        </w:tc>
      </w:tr>
      <w:tr>
        <w:tc>
          <w:tcPr>
            <w:tcW w:type="dxa" w:w="785"/>
          </w:tcPr>
          <w:p>
            <w:r>
              <w:rPr>
                <w:sz w:val="17"/>
              </w:rPr>
            </w:r>
            <w:r>
              <w:rPr>
                <w:sz w:val="17"/>
              </w:rPr>
              <w:t>Masse salariale avec cotisations, M ₽</w:t>
            </w:r>
          </w:p>
        </w:tc>
        <w:tc>
          <w:tcPr>
            <w:tcW w:type="dxa" w:w="785"/>
          </w:tcPr>
          <w:p>
            <w:r>
              <w:rPr>
                <w:sz w:val="17"/>
              </w:rPr>
            </w:r>
            <w:r>
              <w:rPr>
                <w:sz w:val="17"/>
              </w:rPr>
              <w:t>218</w:t>
            </w:r>
          </w:p>
        </w:tc>
        <w:tc>
          <w:tcPr>
            <w:tcW w:type="dxa" w:w="785"/>
          </w:tcPr>
          <w:p>
            <w:r>
              <w:rPr>
                <w:sz w:val="17"/>
              </w:rPr>
            </w:r>
            <w:r>
              <w:rPr>
                <w:sz w:val="17"/>
              </w:rPr>
              <w:t>695</w:t>
            </w:r>
          </w:p>
        </w:tc>
        <w:tc>
          <w:tcPr>
            <w:tcW w:type="dxa" w:w="785"/>
          </w:tcPr>
          <w:p>
            <w:r>
              <w:rPr>
                <w:sz w:val="17"/>
              </w:rPr>
            </w:r>
            <w:r>
              <w:rPr>
                <w:sz w:val="17"/>
              </w:rPr>
              <w:t>982</w:t>
            </w:r>
          </w:p>
        </w:tc>
        <w:tc>
          <w:tcPr>
            <w:tcW w:type="dxa" w:w="785"/>
          </w:tcPr>
          <w:p>
            <w:r>
              <w:rPr>
                <w:sz w:val="17"/>
              </w:rPr>
            </w:r>
            <w:r>
              <w:rPr>
                <w:sz w:val="17"/>
              </w:rPr>
              <w:t>1 301</w:t>
            </w:r>
          </w:p>
        </w:tc>
        <w:tc>
          <w:tcPr>
            <w:tcW w:type="dxa" w:w="785"/>
          </w:tcPr>
          <w:p>
            <w:r>
              <w:rPr>
                <w:sz w:val="17"/>
              </w:rPr>
            </w:r>
            <w:r>
              <w:rPr>
                <w:sz w:val="17"/>
              </w:rPr>
              <w:t>1 654</w:t>
            </w:r>
          </w:p>
        </w:tc>
        <w:tc>
          <w:tcPr>
            <w:tcW w:type="dxa" w:w="785"/>
          </w:tcPr>
          <w:p>
            <w:r>
              <w:rPr>
                <w:sz w:val="17"/>
              </w:rPr>
            </w:r>
            <w:r>
              <w:rPr>
                <w:sz w:val="17"/>
              </w:rPr>
              <w:t>1 973</w:t>
            </w:r>
          </w:p>
        </w:tc>
        <w:tc>
          <w:tcPr>
            <w:tcW w:type="dxa" w:w="785"/>
          </w:tcPr>
          <w:p>
            <w:r>
              <w:rPr>
                <w:sz w:val="17"/>
              </w:rPr>
            </w:r>
            <w:r>
              <w:rPr>
                <w:sz w:val="17"/>
              </w:rPr>
              <w:t>2 324</w:t>
            </w:r>
          </w:p>
        </w:tc>
        <w:tc>
          <w:tcPr>
            <w:tcW w:type="dxa" w:w="785"/>
          </w:tcPr>
          <w:p>
            <w:r>
              <w:rPr>
                <w:sz w:val="17"/>
              </w:rPr>
            </w:r>
            <w:r>
              <w:rPr>
                <w:sz w:val="17"/>
              </w:rPr>
              <w:t>2 709</w:t>
            </w:r>
          </w:p>
        </w:tc>
        <w:tc>
          <w:tcPr>
            <w:tcW w:type="dxa" w:w="785"/>
          </w:tcPr>
          <w:p>
            <w:r>
              <w:rPr>
                <w:sz w:val="17"/>
              </w:rPr>
            </w:r>
            <w:r>
              <w:rPr>
                <w:sz w:val="17"/>
              </w:rPr>
              <w:t>3 046</w:t>
            </w:r>
          </w:p>
        </w:tc>
        <w:tc>
          <w:tcPr>
            <w:tcW w:type="dxa" w:w="785"/>
          </w:tcPr>
          <w:p>
            <w:r>
              <w:rPr>
                <w:sz w:val="17"/>
              </w:rPr>
            </w:r>
            <w:r>
              <w:rPr>
                <w:sz w:val="17"/>
              </w:rPr>
              <w:t>3 413</w:t>
            </w:r>
          </w:p>
        </w:tc>
      </w:tr>
      <w:tr>
        <w:tc>
          <w:tcPr>
            <w:tcW w:type="dxa" w:w="785"/>
          </w:tcPr>
          <w:p>
            <w:r>
              <w:rPr>
                <w:sz w:val="17"/>
              </w:rPr>
            </w:r>
            <w:r>
              <w:rPr>
                <w:sz w:val="17"/>
              </w:rPr>
              <w:t>Autres charges d’exploitation, M ₽</w:t>
            </w:r>
          </w:p>
        </w:tc>
        <w:tc>
          <w:tcPr>
            <w:tcW w:type="dxa" w:w="785"/>
          </w:tcPr>
          <w:p>
            <w:r>
              <w:rPr>
                <w:sz w:val="17"/>
              </w:rPr>
            </w:r>
            <w:r>
              <w:rPr>
                <w:sz w:val="17"/>
              </w:rPr>
              <w:t>502</w:t>
            </w:r>
          </w:p>
        </w:tc>
        <w:tc>
          <w:tcPr>
            <w:tcW w:type="dxa" w:w="785"/>
          </w:tcPr>
          <w:p>
            <w:r>
              <w:rPr>
                <w:sz w:val="17"/>
              </w:rPr>
            </w:r>
            <w:r>
              <w:rPr>
                <w:sz w:val="17"/>
              </w:rPr>
              <w:t>810</w:t>
            </w:r>
          </w:p>
        </w:tc>
        <w:tc>
          <w:tcPr>
            <w:tcW w:type="dxa" w:w="785"/>
          </w:tcPr>
          <w:p>
            <w:r>
              <w:rPr>
                <w:sz w:val="17"/>
              </w:rPr>
            </w:r>
            <w:r>
              <w:rPr>
                <w:sz w:val="17"/>
              </w:rPr>
              <w:t>1 977</w:t>
            </w:r>
          </w:p>
        </w:tc>
        <w:tc>
          <w:tcPr>
            <w:tcW w:type="dxa" w:w="785"/>
          </w:tcPr>
          <w:p>
            <w:r>
              <w:rPr>
                <w:sz w:val="17"/>
              </w:rPr>
            </w:r>
            <w:r>
              <w:rPr>
                <w:sz w:val="17"/>
              </w:rPr>
              <w:t>4 479</w:t>
            </w:r>
          </w:p>
        </w:tc>
        <w:tc>
          <w:tcPr>
            <w:tcW w:type="dxa" w:w="785"/>
          </w:tcPr>
          <w:p>
            <w:r>
              <w:rPr>
                <w:sz w:val="17"/>
              </w:rPr>
            </w:r>
            <w:r>
              <w:rPr>
                <w:sz w:val="17"/>
              </w:rPr>
              <w:t>9 172</w:t>
            </w:r>
          </w:p>
        </w:tc>
        <w:tc>
          <w:tcPr>
            <w:tcW w:type="dxa" w:w="785"/>
          </w:tcPr>
          <w:p>
            <w:r>
              <w:rPr>
                <w:sz w:val="17"/>
              </w:rPr>
            </w:r>
            <w:r>
              <w:rPr>
                <w:sz w:val="17"/>
              </w:rPr>
              <w:t>13 120</w:t>
            </w:r>
          </w:p>
        </w:tc>
        <w:tc>
          <w:tcPr>
            <w:tcW w:type="dxa" w:w="785"/>
          </w:tcPr>
          <w:p>
            <w:r>
              <w:rPr>
                <w:sz w:val="17"/>
              </w:rPr>
            </w:r>
            <w:r>
              <w:rPr>
                <w:sz w:val="17"/>
              </w:rPr>
              <w:t>17 506</w:t>
            </w:r>
          </w:p>
        </w:tc>
        <w:tc>
          <w:tcPr>
            <w:tcW w:type="dxa" w:w="785"/>
          </w:tcPr>
          <w:p>
            <w:r>
              <w:rPr>
                <w:sz w:val="17"/>
              </w:rPr>
            </w:r>
            <w:r>
              <w:rPr>
                <w:sz w:val="17"/>
              </w:rPr>
              <w:t>22 297</w:t>
            </w:r>
          </w:p>
        </w:tc>
        <w:tc>
          <w:tcPr>
            <w:tcW w:type="dxa" w:w="785"/>
          </w:tcPr>
          <w:p>
            <w:r>
              <w:rPr>
                <w:sz w:val="17"/>
              </w:rPr>
            </w:r>
            <w:r>
              <w:rPr>
                <w:sz w:val="17"/>
              </w:rPr>
              <w:t>27 279</w:t>
            </w:r>
          </w:p>
        </w:tc>
        <w:tc>
          <w:tcPr>
            <w:tcW w:type="dxa" w:w="785"/>
          </w:tcPr>
          <w:p>
            <w:r>
              <w:rPr>
                <w:sz w:val="17"/>
              </w:rPr>
            </w:r>
            <w:r>
              <w:rPr>
                <w:sz w:val="17"/>
              </w:rPr>
              <w:t>32 090</w:t>
            </w:r>
          </w:p>
        </w:tc>
      </w:tr>
      <w:tr>
        <w:tc>
          <w:tcPr>
            <w:tcW w:type="dxa" w:w="785"/>
          </w:tcPr>
          <w:p>
            <w:r>
              <w:rPr>
                <w:sz w:val="17"/>
              </w:rPr>
            </w:r>
            <w:r>
              <w:rPr>
                <w:sz w:val="17"/>
              </w:rPr>
              <w:t>Investissements, M ₽</w:t>
            </w:r>
          </w:p>
        </w:tc>
        <w:tc>
          <w:tcPr>
            <w:tcW w:type="dxa" w:w="785"/>
          </w:tcPr>
          <w:p>
            <w:r>
              <w:rPr>
                <w:sz w:val="17"/>
              </w:rPr>
            </w:r>
            <w:r>
              <w:rPr>
                <w:sz w:val="17"/>
              </w:rPr>
              <w:t>300</w:t>
            </w:r>
          </w:p>
        </w:tc>
        <w:tc>
          <w:tcPr>
            <w:tcW w:type="dxa" w:w="785"/>
          </w:tcPr>
          <w:p>
            <w:r>
              <w:rPr>
                <w:sz w:val="17"/>
              </w:rPr>
            </w:r>
            <w:r>
              <w:rPr>
                <w:sz w:val="17"/>
              </w:rPr>
              <w:t>420</w:t>
            </w:r>
          </w:p>
        </w:tc>
        <w:tc>
          <w:tcPr>
            <w:tcW w:type="dxa" w:w="785"/>
          </w:tcPr>
          <w:p>
            <w:r>
              <w:rPr>
                <w:sz w:val="17"/>
              </w:rPr>
            </w:r>
            <w:r>
              <w:rPr>
                <w:sz w:val="17"/>
              </w:rPr>
              <w:t>400</w:t>
            </w:r>
          </w:p>
        </w:tc>
        <w:tc>
          <w:tcPr>
            <w:tcW w:type="dxa" w:w="785"/>
          </w:tcPr>
          <w:p>
            <w:r>
              <w:rPr>
                <w:sz w:val="17"/>
              </w:rPr>
            </w:r>
            <w:r>
              <w:rPr>
                <w:sz w:val="17"/>
              </w:rPr>
              <w:t>550</w:t>
            </w:r>
          </w:p>
        </w:tc>
        <w:tc>
          <w:tcPr>
            <w:tcW w:type="dxa" w:w="785"/>
          </w:tcPr>
          <w:p>
            <w:r>
              <w:rPr>
                <w:sz w:val="17"/>
              </w:rPr>
            </w:r>
            <w:r>
              <w:rPr>
                <w:sz w:val="17"/>
              </w:rPr>
              <w:t>1 800</w:t>
            </w:r>
          </w:p>
        </w:tc>
        <w:tc>
          <w:tcPr>
            <w:tcW w:type="dxa" w:w="785"/>
          </w:tcPr>
          <w:p>
            <w:r>
              <w:rPr>
                <w:sz w:val="17"/>
              </w:rPr>
            </w:r>
            <w:r>
              <w:rPr>
                <w:sz w:val="17"/>
              </w:rPr>
              <w:t>2 400</w:t>
            </w:r>
          </w:p>
        </w:tc>
        <w:tc>
          <w:tcPr>
            <w:tcW w:type="dxa" w:w="785"/>
          </w:tcPr>
          <w:p>
            <w:r>
              <w:rPr>
                <w:sz w:val="17"/>
              </w:rPr>
            </w:r>
            <w:r>
              <w:rPr>
                <w:sz w:val="17"/>
              </w:rPr>
              <w:t>1 600</w:t>
            </w:r>
          </w:p>
        </w:tc>
        <w:tc>
          <w:tcPr>
            <w:tcW w:type="dxa" w:w="785"/>
          </w:tcPr>
          <w:p>
            <w:r>
              <w:rPr>
                <w:sz w:val="17"/>
              </w:rPr>
            </w:r>
            <w:r>
              <w:rPr>
                <w:sz w:val="17"/>
              </w:rPr>
              <w:t>1 800</w:t>
            </w:r>
          </w:p>
        </w:tc>
        <w:tc>
          <w:tcPr>
            <w:tcW w:type="dxa" w:w="785"/>
          </w:tcPr>
          <w:p>
            <w:r>
              <w:rPr>
                <w:sz w:val="17"/>
              </w:rPr>
            </w:r>
            <w:r>
              <w:rPr>
                <w:sz w:val="17"/>
              </w:rPr>
              <w:t>2 300</w:t>
            </w:r>
          </w:p>
        </w:tc>
        <w:tc>
          <w:tcPr>
            <w:tcW w:type="dxa" w:w="785"/>
          </w:tcPr>
          <w:p>
            <w:r>
              <w:rPr>
                <w:sz w:val="17"/>
              </w:rPr>
            </w:r>
            <w:r>
              <w:rPr>
                <w:sz w:val="17"/>
              </w:rPr>
              <w:t>2 000</w:t>
            </w:r>
          </w:p>
        </w:tc>
      </w:tr>
      <w:tr>
        <w:tc>
          <w:tcPr>
            <w:tcW w:type="dxa" w:w="785"/>
          </w:tcPr>
          <w:p>
            <w:r>
              <w:rPr>
                <w:sz w:val="17"/>
              </w:rPr>
            </w:r>
            <w:r>
              <w:rPr>
                <w:sz w:val="17"/>
              </w:rPr>
              <w:t>Amortissement, M ₽</w:t>
            </w:r>
          </w:p>
        </w:tc>
        <w:tc>
          <w:tcPr>
            <w:tcW w:type="dxa" w:w="785"/>
          </w:tcPr>
          <w:p>
            <w:r>
              <w:rPr>
                <w:sz w:val="17"/>
              </w:rPr>
            </w:r>
            <w:r>
              <w:rPr>
                <w:sz w:val="17"/>
              </w:rPr>
              <w:t>43</w:t>
            </w:r>
          </w:p>
        </w:tc>
        <w:tc>
          <w:tcPr>
            <w:tcW w:type="dxa" w:w="785"/>
          </w:tcPr>
          <w:p>
            <w:r>
              <w:rPr>
                <w:sz w:val="17"/>
              </w:rPr>
            </w:r>
            <w:r>
              <w:rPr>
                <w:sz w:val="17"/>
              </w:rPr>
              <w:t>103</w:t>
            </w:r>
          </w:p>
        </w:tc>
        <w:tc>
          <w:tcPr>
            <w:tcW w:type="dxa" w:w="785"/>
          </w:tcPr>
          <w:p>
            <w:r>
              <w:rPr>
                <w:sz w:val="17"/>
              </w:rPr>
            </w:r>
            <w:r>
              <w:rPr>
                <w:sz w:val="17"/>
              </w:rPr>
              <w:t>160</w:t>
            </w:r>
          </w:p>
        </w:tc>
        <w:tc>
          <w:tcPr>
            <w:tcW w:type="dxa" w:w="785"/>
          </w:tcPr>
          <w:p>
            <w:r>
              <w:rPr>
                <w:sz w:val="17"/>
              </w:rPr>
            </w:r>
            <w:r>
              <w:rPr>
                <w:sz w:val="17"/>
              </w:rPr>
              <w:t>239</w:t>
            </w:r>
          </w:p>
        </w:tc>
        <w:tc>
          <w:tcPr>
            <w:tcW w:type="dxa" w:w="785"/>
          </w:tcPr>
          <w:p>
            <w:r>
              <w:rPr>
                <w:sz w:val="17"/>
              </w:rPr>
            </w:r>
            <w:r>
              <w:rPr>
                <w:sz w:val="17"/>
              </w:rPr>
              <w:t>496</w:t>
            </w:r>
          </w:p>
        </w:tc>
        <w:tc>
          <w:tcPr>
            <w:tcW w:type="dxa" w:w="785"/>
          </w:tcPr>
          <w:p>
            <w:r>
              <w:rPr>
                <w:sz w:val="17"/>
              </w:rPr>
            </w:r>
            <w:r>
              <w:rPr>
                <w:sz w:val="17"/>
              </w:rPr>
              <w:t>839</w:t>
            </w:r>
          </w:p>
        </w:tc>
        <w:tc>
          <w:tcPr>
            <w:tcW w:type="dxa" w:w="785"/>
          </w:tcPr>
          <w:p>
            <w:r>
              <w:rPr>
                <w:sz w:val="17"/>
              </w:rPr>
            </w:r>
            <w:r>
              <w:rPr>
                <w:sz w:val="17"/>
              </w:rPr>
              <w:t>1 067</w:t>
            </w:r>
          </w:p>
        </w:tc>
        <w:tc>
          <w:tcPr>
            <w:tcW w:type="dxa" w:w="785"/>
          </w:tcPr>
          <w:p>
            <w:r>
              <w:rPr>
                <w:sz w:val="17"/>
              </w:rPr>
            </w:r>
            <w:r>
              <w:rPr>
                <w:sz w:val="17"/>
              </w:rPr>
              <w:t>1 281</w:t>
            </w:r>
          </w:p>
        </w:tc>
        <w:tc>
          <w:tcPr>
            <w:tcW w:type="dxa" w:w="785"/>
          </w:tcPr>
          <w:p>
            <w:r>
              <w:rPr>
                <w:sz w:val="17"/>
              </w:rPr>
            </w:r>
            <w:r>
              <w:rPr>
                <w:sz w:val="17"/>
              </w:rPr>
              <w:t>1 550</w:t>
            </w:r>
          </w:p>
        </w:tc>
        <w:tc>
          <w:tcPr>
            <w:tcW w:type="dxa" w:w="785"/>
          </w:tcPr>
          <w:p>
            <w:r>
              <w:rPr>
                <w:sz w:val="17"/>
              </w:rPr>
            </w:r>
            <w:r>
              <w:rPr>
                <w:sz w:val="17"/>
              </w:rPr>
              <w:t>1 779</w:t>
            </w:r>
          </w:p>
        </w:tc>
      </w:tr>
    </w:tbl>
    <w:p/>
    <w:p>
      <w:pPr>
        <w:jc w:val="both"/>
      </w:pPr>
      <w:r>
        <w:t xml:space="preserve">Investissements sur l’horizon — </w:t>
      </w:r>
      <w:r>
        <w:rPr>
          <w:b/>
        </w:rPr>
        <w:t>13 570 M ₽</w:t>
      </w:r>
      <w:r>
        <w:t>. Durée d’amortissement 7 ans.</w:t>
      </w:r>
    </w:p>
    <w:p>
      <w:pPr>
        <w:pStyle w:val="Heading3"/>
      </w:pPr>
      <w:r>
        <w:t>1.5. Impôts et besoin en fonds de roulement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Paramètre</w:t>
            </w:r>
          </w:p>
        </w:tc>
        <w:tc>
          <w:tcPr>
            <w:tcW w:type="dxa" w:w="2880"/>
          </w:tcPr>
          <w:p>
            <w:r>
              <w:rPr>
                <w:b/>
                <w:sz w:val="17"/>
              </w:rPr>
            </w:r>
            <w:r>
              <w:rPr>
                <w:b/>
                <w:sz w:val="17"/>
              </w:rPr>
              <w:t>Valeur</w:t>
            </w:r>
          </w:p>
        </w:tc>
        <w:tc>
          <w:tcPr>
            <w:tcW w:type="dxa" w:w="2880"/>
          </w:tcPr>
          <w:p>
            <w:r>
              <w:rPr>
                <w:b/>
                <w:sz w:val="17"/>
              </w:rPr>
            </w:r>
            <w:r>
              <w:rPr>
                <w:b/>
                <w:sz w:val="17"/>
              </w:rPr>
              <w:t>Fondement</w:t>
            </w:r>
          </w:p>
        </w:tc>
      </w:tr>
      <w:tr>
        <w:tc>
          <w:tcPr>
            <w:tcW w:type="dxa" w:w="2880"/>
          </w:tcPr>
          <w:p>
            <w:r>
              <w:rPr>
                <w:sz w:val="17"/>
              </w:rPr>
            </w:r>
            <w:r>
              <w:rPr>
                <w:sz w:val="17"/>
              </w:rPr>
              <w:t>Impôt sur les bénéfices</w:t>
            </w:r>
          </w:p>
        </w:tc>
        <w:tc>
          <w:tcPr>
            <w:tcW w:type="dxa" w:w="2880"/>
          </w:tcPr>
          <w:p>
            <w:r>
              <w:rPr>
                <w:sz w:val="17"/>
              </w:rPr>
            </w:r>
            <w:r>
              <w:rPr>
                <w:sz w:val="17"/>
              </w:rPr>
              <w:t>25 %</w:t>
            </w:r>
          </w:p>
        </w:tc>
        <w:tc>
          <w:tcPr>
            <w:tcW w:type="dxa" w:w="2880"/>
          </w:tcPr>
          <w:p>
            <w:r>
              <w:rPr>
                <w:sz w:val="17"/>
              </w:rPr>
            </w:r>
            <w:r>
              <w:rPr>
                <w:sz w:val="17"/>
              </w:rPr>
              <w:t>loi fédérale 176-FZ du 12.07.2024, en vigueur depuis le 01.01.2025</w:t>
            </w:r>
          </w:p>
        </w:tc>
      </w:tr>
      <w:tr>
        <w:tc>
          <w:tcPr>
            <w:tcW w:type="dxa" w:w="2880"/>
          </w:tcPr>
          <w:p>
            <w:r>
              <w:rPr>
                <w:sz w:val="17"/>
              </w:rPr>
            </w:r>
            <w:r>
              <w:rPr>
                <w:sz w:val="17"/>
              </w:rPr>
              <w:t>Plafond de report des pertes antérieures</w:t>
            </w:r>
          </w:p>
        </w:tc>
        <w:tc>
          <w:tcPr>
            <w:tcW w:type="dxa" w:w="2880"/>
          </w:tcPr>
          <w:p>
            <w:r>
              <w:rPr>
                <w:sz w:val="17"/>
              </w:rPr>
            </w:r>
            <w:r>
              <w:rPr>
                <w:sz w:val="17"/>
              </w:rPr>
              <w:t>50 %</w:t>
            </w:r>
          </w:p>
        </w:tc>
        <w:tc>
          <w:tcPr>
            <w:tcW w:type="dxa" w:w="2880"/>
          </w:tcPr>
          <w:p>
            <w:r>
              <w:rPr>
                <w:sz w:val="17"/>
              </w:rPr>
            </w:r>
            <w:r>
              <w:rPr>
                <w:sz w:val="17"/>
              </w:rPr>
              <w:t>art. 283 du Code des impôts</w:t>
            </w:r>
          </w:p>
        </w:tc>
      </w:tr>
      <w:tr>
        <w:tc>
          <w:tcPr>
            <w:tcW w:type="dxa" w:w="2880"/>
          </w:tcPr>
          <w:p>
            <w:r>
              <w:rPr>
                <w:sz w:val="17"/>
              </w:rPr>
            </w:r>
            <w:r>
              <w:rPr>
                <w:sz w:val="17"/>
              </w:rPr>
              <w:t>Cotisations sociales</w:t>
            </w:r>
          </w:p>
        </w:tc>
        <w:tc>
          <w:tcPr>
            <w:tcW w:type="dxa" w:w="2880"/>
          </w:tcPr>
          <w:p>
            <w:r>
              <w:rPr>
                <w:sz w:val="17"/>
              </w:rPr>
            </w:r>
            <w:r>
              <w:rPr>
                <w:sz w:val="17"/>
              </w:rPr>
              <w:t>30 %</w:t>
            </w:r>
          </w:p>
        </w:tc>
        <w:tc>
          <w:tcPr>
            <w:tcW w:type="dxa" w:w="2880"/>
          </w:tcPr>
          <w:p>
            <w:r>
              <w:rPr>
                <w:sz w:val="17"/>
              </w:rPr>
            </w:r>
            <w:r>
              <w:rPr>
                <w:sz w:val="17"/>
              </w:rPr>
              <w:t>ch. 34 du Code des impôts</w:t>
            </w:r>
          </w:p>
        </w:tc>
      </w:tr>
      <w:tr>
        <w:tc>
          <w:tcPr>
            <w:tcW w:type="dxa" w:w="2880"/>
          </w:tcPr>
          <w:p>
            <w:r>
              <w:rPr>
                <w:sz w:val="17"/>
              </w:rPr>
            </w:r>
            <w:r>
              <w:rPr>
                <w:sz w:val="17"/>
              </w:rPr>
              <w:t>Besoin en fonds de roulement</w:t>
            </w:r>
          </w:p>
        </w:tc>
        <w:tc>
          <w:tcPr>
            <w:tcW w:type="dxa" w:w="2880"/>
          </w:tcPr>
          <w:p>
            <w:r>
              <w:rPr>
                <w:sz w:val="17"/>
              </w:rPr>
            </w:r>
            <w:r>
              <w:rPr>
                <w:sz w:val="17"/>
              </w:rPr>
              <w:t>5 %</w:t>
            </w:r>
          </w:p>
        </w:tc>
        <w:tc>
          <w:tcPr>
            <w:tcW w:type="dxa" w:w="2880"/>
          </w:tcPr>
          <w:p>
            <w:r>
              <w:rPr>
                <w:sz w:val="17"/>
              </w:rPr>
            </w:r>
            <w:r>
              <w:rPr>
                <w:sz w:val="17"/>
              </w:rPr>
              <w:t>du chiffre d’affaires</w:t>
            </w:r>
          </w:p>
        </w:tc>
      </w:tr>
    </w:tbl>
    <w:p/>
    <w:p>
      <w:pPr>
        <w:ind w:left="360"/>
      </w:pPr>
      <w:r>
        <w:rPr>
          <w:i/>
          <w:color w:val="444444"/>
        </w:rPr>
        <w:t>L’allègement d’impôt sur les bénéfices ouvert aux organisations informatiques accréditées n’est pas intégré au scénario de base — c’est un potentiel distinct, non une hypothèse.</w:t>
      </w:r>
    </w:p>
    <w:p>
      <w:pPr>
        <w:ind w:left="360"/>
      </w:pPr>
      <w:r>
        <w:rPr>
          <w:b/>
          <w:i/>
          <w:color w:val="444444"/>
        </w:rPr>
        <w:t>TVA.</w:t>
      </w:r>
      <w:r>
        <w:rPr>
          <w:i/>
          <w:color w:val="444444"/>
        </w:rPr>
        <w:t xml:space="preserve"> Les opérations sur actifs financiers numériques ne sont pas soumises à la TVA : ces actifs relèvent des valeurs mobilières et la cession de valeurs mobilières est exonérée (sous-clause 12, clause 2, art. 149 du Code des impôts). La position a été confirmée par le propriétaire du projet le 07.09.2026 et est intégrée au modèle.</w:t>
      </w:r>
    </w:p>
    <w:p>
      <w:pPr>
        <w:pStyle w:val="Heading2"/>
      </w:pPr>
      <w:r>
        <w:t>Feuille 2. Chiffre d’affaires</w:t>
      </w:r>
    </w:p>
    <w:p>
      <w:pPr>
        <w:jc w:val="both"/>
      </w:pPr>
      <w:r>
        <w:t>Tous les montants en M ₽. Le total est égal à la somme des lignes.</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Ligne</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Commission d’émission</w:t>
            </w:r>
          </w:p>
        </w:tc>
        <w:tc>
          <w:tcPr>
            <w:tcW w:type="dxa" w:w="785"/>
          </w:tcPr>
          <w:p>
            <w:r>
              <w:rPr>
                <w:sz w:val="17"/>
              </w:rPr>
            </w:r>
            <w:r>
              <w:rPr>
                <w:sz w:val="17"/>
              </w:rPr>
              <w:t>0</w:t>
            </w:r>
          </w:p>
        </w:tc>
        <w:tc>
          <w:tcPr>
            <w:tcW w:type="dxa" w:w="785"/>
          </w:tcPr>
          <w:p>
            <w:r>
              <w:rPr>
                <w:sz w:val="17"/>
              </w:rPr>
            </w:r>
            <w:r>
              <w:rPr>
                <w:sz w:val="17"/>
              </w:rPr>
              <w:t>562</w:t>
            </w:r>
          </w:p>
        </w:tc>
        <w:tc>
          <w:tcPr>
            <w:tcW w:type="dxa" w:w="785"/>
          </w:tcPr>
          <w:p>
            <w:r>
              <w:rPr>
                <w:sz w:val="17"/>
              </w:rPr>
            </w:r>
            <w:r>
              <w:rPr>
                <w:sz w:val="17"/>
              </w:rPr>
              <w:t>2 632</w:t>
            </w:r>
          </w:p>
        </w:tc>
        <w:tc>
          <w:tcPr>
            <w:tcW w:type="dxa" w:w="785"/>
          </w:tcPr>
          <w:p>
            <w:r>
              <w:rPr>
                <w:sz w:val="17"/>
              </w:rPr>
            </w:r>
            <w:r>
              <w:rPr>
                <w:sz w:val="17"/>
              </w:rPr>
              <w:t>6 692</w:t>
            </w:r>
          </w:p>
        </w:tc>
        <w:tc>
          <w:tcPr>
            <w:tcW w:type="dxa" w:w="785"/>
          </w:tcPr>
          <w:p>
            <w:r>
              <w:rPr>
                <w:sz w:val="17"/>
              </w:rPr>
            </w:r>
            <w:r>
              <w:rPr>
                <w:sz w:val="17"/>
              </w:rPr>
              <w:t>13 919</w:t>
            </w:r>
          </w:p>
        </w:tc>
        <w:tc>
          <w:tcPr>
            <w:tcW w:type="dxa" w:w="785"/>
          </w:tcPr>
          <w:p>
            <w:r>
              <w:rPr>
                <w:sz w:val="17"/>
              </w:rPr>
            </w:r>
            <w:r>
              <w:rPr>
                <w:sz w:val="17"/>
              </w:rPr>
              <w:t>17 765</w:t>
            </w:r>
          </w:p>
        </w:tc>
        <w:tc>
          <w:tcPr>
            <w:tcW w:type="dxa" w:w="785"/>
          </w:tcPr>
          <w:p>
            <w:r>
              <w:rPr>
                <w:sz w:val="17"/>
              </w:rPr>
            </w:r>
            <w:r>
              <w:rPr>
                <w:sz w:val="17"/>
              </w:rPr>
              <w:t>21 555</w:t>
            </w:r>
          </w:p>
        </w:tc>
        <w:tc>
          <w:tcPr>
            <w:tcW w:type="dxa" w:w="785"/>
          </w:tcPr>
          <w:p>
            <w:r>
              <w:rPr>
                <w:sz w:val="17"/>
              </w:rPr>
            </w:r>
            <w:r>
              <w:rPr>
                <w:sz w:val="17"/>
              </w:rPr>
              <w:t>25 620</w:t>
            </w:r>
          </w:p>
        </w:tc>
        <w:tc>
          <w:tcPr>
            <w:tcW w:type="dxa" w:w="785"/>
          </w:tcPr>
          <w:p>
            <w:r>
              <w:rPr>
                <w:sz w:val="17"/>
              </w:rPr>
            </w:r>
            <w:r>
              <w:rPr>
                <w:sz w:val="17"/>
              </w:rPr>
              <w:t>29 975</w:t>
            </w:r>
          </w:p>
        </w:tc>
        <w:tc>
          <w:tcPr>
            <w:tcW w:type="dxa" w:w="785"/>
          </w:tcPr>
          <w:p>
            <w:r>
              <w:rPr>
                <w:sz w:val="17"/>
              </w:rPr>
            </w:r>
            <w:r>
              <w:rPr>
                <w:sz w:val="17"/>
              </w:rPr>
              <w:t>34 638</w:t>
            </w:r>
          </w:p>
        </w:tc>
      </w:tr>
      <w:tr>
        <w:tc>
          <w:tcPr>
            <w:tcW w:type="dxa" w:w="785"/>
          </w:tcPr>
          <w:p>
            <w:r>
              <w:rPr>
                <w:sz w:val="17"/>
              </w:rPr>
            </w:r>
            <w:r>
              <w:rPr>
                <w:sz w:val="17"/>
              </w:rPr>
              <w:t>Commission de service</w:t>
            </w:r>
          </w:p>
        </w:tc>
        <w:tc>
          <w:tcPr>
            <w:tcW w:type="dxa" w:w="785"/>
          </w:tcPr>
          <w:p>
            <w:r>
              <w:rPr>
                <w:sz w:val="17"/>
              </w:rPr>
            </w:r>
            <w:r>
              <w:rPr>
                <w:sz w:val="17"/>
              </w:rPr>
              <w:t>0</w:t>
            </w:r>
          </w:p>
        </w:tc>
        <w:tc>
          <w:tcPr>
            <w:tcW w:type="dxa" w:w="785"/>
          </w:tcPr>
          <w:p>
            <w:r>
              <w:rPr>
                <w:sz w:val="17"/>
              </w:rPr>
            </w:r>
            <w:r>
              <w:rPr>
                <w:sz w:val="17"/>
              </w:rPr>
              <w:t>337</w:t>
            </w:r>
          </w:p>
        </w:tc>
        <w:tc>
          <w:tcPr>
            <w:tcW w:type="dxa" w:w="785"/>
          </w:tcPr>
          <w:p>
            <w:r>
              <w:rPr>
                <w:sz w:val="17"/>
              </w:rPr>
            </w:r>
            <w:r>
              <w:rPr>
                <w:sz w:val="17"/>
              </w:rPr>
              <w:t>1 917</w:t>
            </w:r>
          </w:p>
        </w:tc>
        <w:tc>
          <w:tcPr>
            <w:tcW w:type="dxa" w:w="785"/>
          </w:tcPr>
          <w:p>
            <w:r>
              <w:rPr>
                <w:sz w:val="17"/>
              </w:rPr>
            </w:r>
            <w:r>
              <w:rPr>
                <w:sz w:val="17"/>
              </w:rPr>
              <w:t>5 932</w:t>
            </w:r>
          </w:p>
        </w:tc>
        <w:tc>
          <w:tcPr>
            <w:tcW w:type="dxa" w:w="785"/>
          </w:tcPr>
          <w:p>
            <w:r>
              <w:rPr>
                <w:sz w:val="17"/>
              </w:rPr>
            </w:r>
            <w:r>
              <w:rPr>
                <w:sz w:val="17"/>
              </w:rPr>
              <w:t>14 283</w:t>
            </w:r>
          </w:p>
        </w:tc>
        <w:tc>
          <w:tcPr>
            <w:tcW w:type="dxa" w:w="785"/>
          </w:tcPr>
          <w:p>
            <w:r>
              <w:rPr>
                <w:sz w:val="17"/>
              </w:rPr>
            </w:r>
            <w:r>
              <w:rPr>
                <w:sz w:val="17"/>
              </w:rPr>
              <w:t>24 942</w:t>
            </w:r>
          </w:p>
        </w:tc>
        <w:tc>
          <w:tcPr>
            <w:tcW w:type="dxa" w:w="785"/>
          </w:tcPr>
          <w:p>
            <w:r>
              <w:rPr>
                <w:sz w:val="17"/>
              </w:rPr>
            </w:r>
            <w:r>
              <w:rPr>
                <w:sz w:val="17"/>
              </w:rPr>
              <w:t>37 537</w:t>
            </w:r>
          </w:p>
        </w:tc>
        <w:tc>
          <w:tcPr>
            <w:tcW w:type="dxa" w:w="785"/>
          </w:tcPr>
          <w:p>
            <w:r>
              <w:rPr>
                <w:sz w:val="17"/>
              </w:rPr>
            </w:r>
            <w:r>
              <w:rPr>
                <w:sz w:val="17"/>
              </w:rPr>
              <w:t>51 330</w:t>
            </w:r>
          </w:p>
        </w:tc>
        <w:tc>
          <w:tcPr>
            <w:tcW w:type="dxa" w:w="785"/>
          </w:tcPr>
          <w:p>
            <w:r>
              <w:rPr>
                <w:sz w:val="17"/>
              </w:rPr>
            </w:r>
            <w:r>
              <w:rPr>
                <w:sz w:val="17"/>
              </w:rPr>
              <w:t>65 300</w:t>
            </w:r>
          </w:p>
        </w:tc>
        <w:tc>
          <w:tcPr>
            <w:tcW w:type="dxa" w:w="785"/>
          </w:tcPr>
          <w:p>
            <w:r>
              <w:rPr>
                <w:sz w:val="17"/>
              </w:rPr>
            </w:r>
            <w:r>
              <w:rPr>
                <w:sz w:val="17"/>
              </w:rPr>
              <w:t>77 731</w:t>
            </w:r>
          </w:p>
        </w:tc>
      </w:tr>
      <w:tr>
        <w:tc>
          <w:tcPr>
            <w:tcW w:type="dxa" w:w="785"/>
          </w:tcPr>
          <w:p>
            <w:r>
              <w:rPr>
                <w:sz w:val="17"/>
              </w:rPr>
            </w:r>
            <w:r>
              <w:rPr>
                <w:sz w:val="17"/>
              </w:rPr>
              <w:t>Redevance de plateforme</w:t>
            </w:r>
          </w:p>
        </w:tc>
        <w:tc>
          <w:tcPr>
            <w:tcW w:type="dxa" w:w="785"/>
          </w:tcPr>
          <w:p>
            <w:r>
              <w:rPr>
                <w:sz w:val="17"/>
              </w:rPr>
            </w:r>
            <w:r>
              <w:rPr>
                <w:sz w:val="17"/>
              </w:rPr>
              <w:t>0</w:t>
            </w:r>
          </w:p>
        </w:tc>
        <w:tc>
          <w:tcPr>
            <w:tcW w:type="dxa" w:w="785"/>
          </w:tcPr>
          <w:p>
            <w:r>
              <w:rPr>
                <w:sz w:val="17"/>
              </w:rPr>
            </w:r>
            <w:r>
              <w:rPr>
                <w:sz w:val="17"/>
              </w:rPr>
              <w:t>169</w:t>
            </w:r>
          </w:p>
        </w:tc>
        <w:tc>
          <w:tcPr>
            <w:tcW w:type="dxa" w:w="785"/>
          </w:tcPr>
          <w:p>
            <w:r>
              <w:rPr>
                <w:sz w:val="17"/>
              </w:rPr>
            </w:r>
            <w:r>
              <w:rPr>
                <w:sz w:val="17"/>
              </w:rPr>
              <w:t>790</w:t>
            </w:r>
          </w:p>
        </w:tc>
        <w:tc>
          <w:tcPr>
            <w:tcW w:type="dxa" w:w="785"/>
          </w:tcPr>
          <w:p>
            <w:r>
              <w:rPr>
                <w:sz w:val="17"/>
              </w:rPr>
            </w:r>
            <w:r>
              <w:rPr>
                <w:sz w:val="17"/>
              </w:rPr>
              <w:t>2 007</w:t>
            </w:r>
          </w:p>
        </w:tc>
        <w:tc>
          <w:tcPr>
            <w:tcW w:type="dxa" w:w="785"/>
          </w:tcPr>
          <w:p>
            <w:r>
              <w:rPr>
                <w:sz w:val="17"/>
              </w:rPr>
            </w:r>
            <w:r>
              <w:rPr>
                <w:sz w:val="17"/>
              </w:rPr>
              <w:t>4 176</w:t>
            </w:r>
          </w:p>
        </w:tc>
        <w:tc>
          <w:tcPr>
            <w:tcW w:type="dxa" w:w="785"/>
          </w:tcPr>
          <w:p>
            <w:r>
              <w:rPr>
                <w:sz w:val="17"/>
              </w:rPr>
            </w:r>
            <w:r>
              <w:rPr>
                <w:sz w:val="17"/>
              </w:rPr>
              <w:t>5 330</w:t>
            </w:r>
          </w:p>
        </w:tc>
        <w:tc>
          <w:tcPr>
            <w:tcW w:type="dxa" w:w="785"/>
          </w:tcPr>
          <w:p>
            <w:r>
              <w:rPr>
                <w:sz w:val="17"/>
              </w:rPr>
            </w:r>
            <w:r>
              <w:rPr>
                <w:sz w:val="17"/>
              </w:rPr>
              <w:t>6 466</w:t>
            </w:r>
          </w:p>
        </w:tc>
        <w:tc>
          <w:tcPr>
            <w:tcW w:type="dxa" w:w="785"/>
          </w:tcPr>
          <w:p>
            <w:r>
              <w:rPr>
                <w:sz w:val="17"/>
              </w:rPr>
            </w:r>
            <w:r>
              <w:rPr>
                <w:sz w:val="17"/>
              </w:rPr>
              <w:t>7 686</w:t>
            </w:r>
          </w:p>
        </w:tc>
        <w:tc>
          <w:tcPr>
            <w:tcW w:type="dxa" w:w="785"/>
          </w:tcPr>
          <w:p>
            <w:r>
              <w:rPr>
                <w:sz w:val="17"/>
              </w:rPr>
            </w:r>
            <w:r>
              <w:rPr>
                <w:sz w:val="17"/>
              </w:rPr>
              <w:t>8 992</w:t>
            </w:r>
          </w:p>
        </w:tc>
        <w:tc>
          <w:tcPr>
            <w:tcW w:type="dxa" w:w="785"/>
          </w:tcPr>
          <w:p>
            <w:r>
              <w:rPr>
                <w:sz w:val="17"/>
              </w:rPr>
            </w:r>
            <w:r>
              <w:rPr>
                <w:sz w:val="17"/>
              </w:rPr>
              <w:t>10 391</w:t>
            </w:r>
          </w:p>
        </w:tc>
      </w:tr>
      <w:tr>
        <w:tc>
          <w:tcPr>
            <w:tcW w:type="dxa" w:w="785"/>
          </w:tcPr>
          <w:p>
            <w:r>
              <w:rPr>
                <w:sz w:val="17"/>
              </w:rPr>
            </w:r>
            <w:r>
              <w:rPr>
                <w:sz w:val="17"/>
              </w:rPr>
              <w:t>Licences B2B2G</w:t>
            </w:r>
          </w:p>
        </w:tc>
        <w:tc>
          <w:tcPr>
            <w:tcW w:type="dxa" w:w="785"/>
          </w:tcPr>
          <w:p>
            <w:r>
              <w:rPr>
                <w:sz w:val="17"/>
              </w:rPr>
            </w:r>
            <w:r>
              <w:rPr>
                <w:sz w:val="17"/>
              </w:rPr>
              <w:t>0</w:t>
            </w:r>
          </w:p>
        </w:tc>
        <w:tc>
          <w:tcPr>
            <w:tcW w:type="dxa" w:w="785"/>
          </w:tcPr>
          <w:p>
            <w:r>
              <w:rPr>
                <w:sz w:val="17"/>
              </w:rPr>
            </w:r>
            <w:r>
              <w:rPr>
                <w:sz w:val="17"/>
              </w:rPr>
              <w:t>56</w:t>
            </w:r>
          </w:p>
        </w:tc>
        <w:tc>
          <w:tcPr>
            <w:tcW w:type="dxa" w:w="785"/>
          </w:tcPr>
          <w:p>
            <w:r>
              <w:rPr>
                <w:sz w:val="17"/>
              </w:rPr>
            </w:r>
            <w:r>
              <w:rPr>
                <w:sz w:val="17"/>
              </w:rPr>
              <w:t>369</w:t>
            </w:r>
          </w:p>
        </w:tc>
        <w:tc>
          <w:tcPr>
            <w:tcW w:type="dxa" w:w="785"/>
          </w:tcPr>
          <w:p>
            <w:r>
              <w:rPr>
                <w:sz w:val="17"/>
              </w:rPr>
            </w:r>
            <w:r>
              <w:rPr>
                <w:sz w:val="17"/>
              </w:rPr>
              <w:t>1 204</w:t>
            </w:r>
          </w:p>
        </w:tc>
        <w:tc>
          <w:tcPr>
            <w:tcW w:type="dxa" w:w="785"/>
          </w:tcPr>
          <w:p>
            <w:r>
              <w:rPr>
                <w:sz w:val="17"/>
              </w:rPr>
            </w:r>
            <w:r>
              <w:rPr>
                <w:sz w:val="17"/>
              </w:rPr>
              <w:t>2 784</w:t>
            </w:r>
          </w:p>
        </w:tc>
        <w:tc>
          <w:tcPr>
            <w:tcW w:type="dxa" w:w="785"/>
          </w:tcPr>
          <w:p>
            <w:r>
              <w:rPr>
                <w:sz w:val="17"/>
              </w:rPr>
            </w:r>
            <w:r>
              <w:rPr>
                <w:sz w:val="17"/>
              </w:rPr>
              <w:t>3 908</w:t>
            </w:r>
          </w:p>
        </w:tc>
        <w:tc>
          <w:tcPr>
            <w:tcW w:type="dxa" w:w="785"/>
          </w:tcPr>
          <w:p>
            <w:r>
              <w:rPr>
                <w:sz w:val="17"/>
              </w:rPr>
            </w:r>
            <w:r>
              <w:rPr>
                <w:sz w:val="17"/>
              </w:rPr>
              <w:t>5 173</w:t>
            </w:r>
          </w:p>
        </w:tc>
        <w:tc>
          <w:tcPr>
            <w:tcW w:type="dxa" w:w="785"/>
          </w:tcPr>
          <w:p>
            <w:r>
              <w:rPr>
                <w:sz w:val="17"/>
              </w:rPr>
            </w:r>
            <w:r>
              <w:rPr>
                <w:sz w:val="17"/>
              </w:rPr>
              <w:t>6 661</w:t>
            </w:r>
          </w:p>
        </w:tc>
        <w:tc>
          <w:tcPr>
            <w:tcW w:type="dxa" w:w="785"/>
          </w:tcPr>
          <w:p>
            <w:r>
              <w:rPr>
                <w:sz w:val="17"/>
              </w:rPr>
            </w:r>
            <w:r>
              <w:rPr>
                <w:sz w:val="17"/>
              </w:rPr>
              <w:t>8 393</w:t>
            </w:r>
          </w:p>
        </w:tc>
        <w:tc>
          <w:tcPr>
            <w:tcW w:type="dxa" w:w="785"/>
          </w:tcPr>
          <w:p>
            <w:r>
              <w:rPr>
                <w:sz w:val="17"/>
              </w:rPr>
            </w:r>
            <w:r>
              <w:rPr>
                <w:sz w:val="17"/>
              </w:rPr>
              <w:t>10 391</w:t>
            </w:r>
          </w:p>
        </w:tc>
      </w:tr>
      <w:tr>
        <w:tc>
          <w:tcPr>
            <w:tcW w:type="dxa" w:w="785"/>
          </w:tcPr>
          <w:p>
            <w:r>
              <w:rPr>
                <w:sz w:val="17"/>
              </w:rPr>
            </w:r>
            <w:r>
              <w:rPr>
                <w:sz w:val="17"/>
              </w:rPr>
              <w:t>Intégrations technologiques</w:t>
            </w:r>
          </w:p>
        </w:tc>
        <w:tc>
          <w:tcPr>
            <w:tcW w:type="dxa" w:w="785"/>
          </w:tcPr>
          <w:p>
            <w:r>
              <w:rPr>
                <w:sz w:val="17"/>
              </w:rPr>
            </w:r>
            <w:r>
              <w:rPr>
                <w:sz w:val="17"/>
              </w:rPr>
              <w:t>0</w:t>
            </w:r>
          </w:p>
        </w:tc>
        <w:tc>
          <w:tcPr>
            <w:tcW w:type="dxa" w:w="785"/>
          </w:tcPr>
          <w:p>
            <w:r>
              <w:rPr>
                <w:sz w:val="17"/>
              </w:rPr>
            </w:r>
            <w:r>
              <w:rPr>
                <w:sz w:val="17"/>
              </w:rPr>
              <w:t>50</w:t>
            </w:r>
          </w:p>
        </w:tc>
        <w:tc>
          <w:tcPr>
            <w:tcW w:type="dxa" w:w="785"/>
          </w:tcPr>
          <w:p>
            <w:r>
              <w:rPr>
                <w:sz w:val="17"/>
              </w:rPr>
            </w:r>
            <w:r>
              <w:rPr>
                <w:sz w:val="17"/>
              </w:rPr>
              <w:t>180</w:t>
            </w:r>
          </w:p>
        </w:tc>
        <w:tc>
          <w:tcPr>
            <w:tcW w:type="dxa" w:w="785"/>
          </w:tcPr>
          <w:p>
            <w:r>
              <w:rPr>
                <w:sz w:val="17"/>
              </w:rPr>
            </w:r>
            <w:r>
              <w:rPr>
                <w:sz w:val="17"/>
              </w:rPr>
              <w:t>350</w:t>
            </w:r>
          </w:p>
        </w:tc>
        <w:tc>
          <w:tcPr>
            <w:tcW w:type="dxa" w:w="785"/>
          </w:tcPr>
          <w:p>
            <w:r>
              <w:rPr>
                <w:sz w:val="17"/>
              </w:rPr>
            </w:r>
            <w:r>
              <w:rPr>
                <w:sz w:val="17"/>
              </w:rPr>
              <w:t>520</w:t>
            </w:r>
          </w:p>
        </w:tc>
        <w:tc>
          <w:tcPr>
            <w:tcW w:type="dxa" w:w="785"/>
          </w:tcPr>
          <w:p>
            <w:r>
              <w:rPr>
                <w:sz w:val="17"/>
              </w:rPr>
            </w:r>
            <w:r>
              <w:rPr>
                <w:sz w:val="17"/>
              </w:rPr>
              <w:t>650</w:t>
            </w:r>
          </w:p>
        </w:tc>
        <w:tc>
          <w:tcPr>
            <w:tcW w:type="dxa" w:w="785"/>
          </w:tcPr>
          <w:p>
            <w:r>
              <w:rPr>
                <w:sz w:val="17"/>
              </w:rPr>
            </w:r>
            <w:r>
              <w:rPr>
                <w:sz w:val="17"/>
              </w:rPr>
              <w:t>780</w:t>
            </w:r>
          </w:p>
        </w:tc>
        <w:tc>
          <w:tcPr>
            <w:tcW w:type="dxa" w:w="785"/>
          </w:tcPr>
          <w:p>
            <w:r>
              <w:rPr>
                <w:sz w:val="17"/>
              </w:rPr>
            </w:r>
            <w:r>
              <w:rPr>
                <w:sz w:val="17"/>
              </w:rPr>
              <w:t>900</w:t>
            </w:r>
          </w:p>
        </w:tc>
        <w:tc>
          <w:tcPr>
            <w:tcW w:type="dxa" w:w="785"/>
          </w:tcPr>
          <w:p>
            <w:r>
              <w:rPr>
                <w:sz w:val="17"/>
              </w:rPr>
            </w:r>
            <w:r>
              <w:rPr>
                <w:sz w:val="17"/>
              </w:rPr>
              <w:t>1 020</w:t>
            </w:r>
          </w:p>
        </w:tc>
        <w:tc>
          <w:tcPr>
            <w:tcW w:type="dxa" w:w="785"/>
          </w:tcPr>
          <w:p>
            <w:r>
              <w:rPr>
                <w:sz w:val="17"/>
              </w:rPr>
            </w:r>
            <w:r>
              <w:rPr>
                <w:sz w:val="17"/>
              </w:rPr>
              <w:t>1 150</w:t>
            </w:r>
          </w:p>
        </w:tc>
      </w:tr>
      <w:tr>
        <w:tc>
          <w:tcPr>
            <w:tcW w:type="dxa" w:w="785"/>
          </w:tcPr>
          <w:p>
            <w:r>
              <w:rPr>
                <w:sz w:val="17"/>
              </w:rPr>
            </w:r>
            <w:r>
              <w:rPr>
                <w:sz w:val="17"/>
              </w:rPr>
              <w:t>Évaluation et assurance — marge propre</w:t>
            </w:r>
          </w:p>
        </w:tc>
        <w:tc>
          <w:tcPr>
            <w:tcW w:type="dxa" w:w="785"/>
          </w:tcPr>
          <w:p>
            <w:r>
              <w:rPr>
                <w:sz w:val="17"/>
              </w:rPr>
            </w:r>
            <w:r>
              <w:rPr>
                <w:sz w:val="17"/>
              </w:rPr>
              <w:t>0</w:t>
            </w:r>
          </w:p>
        </w:tc>
        <w:tc>
          <w:tcPr>
            <w:tcW w:type="dxa" w:w="785"/>
          </w:tcPr>
          <w:p>
            <w:r>
              <w:rPr>
                <w:sz w:val="17"/>
              </w:rPr>
            </w:r>
            <w:r>
              <w:rPr>
                <w:sz w:val="17"/>
              </w:rPr>
              <w:t>135</w:t>
            </w:r>
          </w:p>
        </w:tc>
        <w:tc>
          <w:tcPr>
            <w:tcW w:type="dxa" w:w="785"/>
          </w:tcPr>
          <w:p>
            <w:r>
              <w:rPr>
                <w:sz w:val="17"/>
              </w:rPr>
            </w:r>
            <w:r>
              <w:rPr>
                <w:sz w:val="17"/>
              </w:rPr>
              <w:t>632</w:t>
            </w:r>
          </w:p>
        </w:tc>
        <w:tc>
          <w:tcPr>
            <w:tcW w:type="dxa" w:w="785"/>
          </w:tcPr>
          <w:p>
            <w:r>
              <w:rPr>
                <w:sz w:val="17"/>
              </w:rPr>
            </w:r>
            <w:r>
              <w:rPr>
                <w:sz w:val="17"/>
              </w:rPr>
              <w:t>1 606</w:t>
            </w:r>
          </w:p>
        </w:tc>
        <w:tc>
          <w:tcPr>
            <w:tcW w:type="dxa" w:w="785"/>
          </w:tcPr>
          <w:p>
            <w:r>
              <w:rPr>
                <w:sz w:val="17"/>
              </w:rPr>
            </w:r>
            <w:r>
              <w:rPr>
                <w:sz w:val="17"/>
              </w:rPr>
              <w:t>3 340</w:t>
            </w:r>
          </w:p>
        </w:tc>
        <w:tc>
          <w:tcPr>
            <w:tcW w:type="dxa" w:w="785"/>
          </w:tcPr>
          <w:p>
            <w:r>
              <w:rPr>
                <w:sz w:val="17"/>
              </w:rPr>
            </w:r>
            <w:r>
              <w:rPr>
                <w:sz w:val="17"/>
              </w:rPr>
              <w:t>4 264</w:t>
            </w:r>
          </w:p>
        </w:tc>
        <w:tc>
          <w:tcPr>
            <w:tcW w:type="dxa" w:w="785"/>
          </w:tcPr>
          <w:p>
            <w:r>
              <w:rPr>
                <w:sz w:val="17"/>
              </w:rPr>
            </w:r>
            <w:r>
              <w:rPr>
                <w:sz w:val="17"/>
              </w:rPr>
              <w:t>5 173</w:t>
            </w:r>
          </w:p>
        </w:tc>
        <w:tc>
          <w:tcPr>
            <w:tcW w:type="dxa" w:w="785"/>
          </w:tcPr>
          <w:p>
            <w:r>
              <w:rPr>
                <w:sz w:val="17"/>
              </w:rPr>
            </w:r>
            <w:r>
              <w:rPr>
                <w:sz w:val="17"/>
              </w:rPr>
              <w:t>6 149</w:t>
            </w:r>
          </w:p>
        </w:tc>
        <w:tc>
          <w:tcPr>
            <w:tcW w:type="dxa" w:w="785"/>
          </w:tcPr>
          <w:p>
            <w:r>
              <w:rPr>
                <w:sz w:val="17"/>
              </w:rPr>
            </w:r>
            <w:r>
              <w:rPr>
                <w:sz w:val="17"/>
              </w:rPr>
              <w:t>7 194</w:t>
            </w:r>
          </w:p>
        </w:tc>
        <w:tc>
          <w:tcPr>
            <w:tcW w:type="dxa" w:w="785"/>
          </w:tcPr>
          <w:p>
            <w:r>
              <w:rPr>
                <w:sz w:val="17"/>
              </w:rPr>
            </w:r>
            <w:r>
              <w:rPr>
                <w:sz w:val="17"/>
              </w:rPr>
              <w:t>8 313</w:t>
            </w:r>
          </w:p>
        </w:tc>
      </w:tr>
      <w:tr>
        <w:tc>
          <w:tcPr>
            <w:tcW w:type="dxa" w:w="785"/>
          </w:tcPr>
          <w:p>
            <w:r>
              <w:rPr>
                <w:sz w:val="17"/>
              </w:rPr>
            </w:r>
            <w:r>
              <w:rPr>
                <w:b/>
                <w:sz w:val="17"/>
              </w:rPr>
              <w:t>TOTAL chiffre d’affaires</w:t>
            </w:r>
          </w:p>
        </w:tc>
        <w:tc>
          <w:tcPr>
            <w:tcW w:type="dxa" w:w="785"/>
          </w:tcPr>
          <w:p>
            <w:r>
              <w:rPr>
                <w:sz w:val="17"/>
              </w:rPr>
            </w:r>
            <w:r>
              <w:rPr>
                <w:sz w:val="17"/>
              </w:rPr>
              <w:t>0</w:t>
            </w:r>
          </w:p>
        </w:tc>
        <w:tc>
          <w:tcPr>
            <w:tcW w:type="dxa" w:w="785"/>
          </w:tcPr>
          <w:p>
            <w:r>
              <w:rPr>
                <w:sz w:val="17"/>
              </w:rPr>
            </w:r>
            <w:r>
              <w:rPr>
                <w:sz w:val="17"/>
              </w:rPr>
              <w:t>1 310</w:t>
            </w:r>
          </w:p>
        </w:tc>
        <w:tc>
          <w:tcPr>
            <w:tcW w:type="dxa" w:w="785"/>
          </w:tcPr>
          <w:p>
            <w:r>
              <w:rPr>
                <w:sz w:val="17"/>
              </w:rPr>
            </w:r>
            <w:r>
              <w:rPr>
                <w:sz w:val="17"/>
              </w:rPr>
              <w:t>6 519</w:t>
            </w:r>
          </w:p>
        </w:tc>
        <w:tc>
          <w:tcPr>
            <w:tcW w:type="dxa" w:w="785"/>
          </w:tcPr>
          <w:p>
            <w:r>
              <w:rPr>
                <w:sz w:val="17"/>
              </w:rPr>
            </w:r>
            <w:r>
              <w:rPr>
                <w:sz w:val="17"/>
              </w:rPr>
              <w:t>17 791</w:t>
            </w:r>
          </w:p>
        </w:tc>
        <w:tc>
          <w:tcPr>
            <w:tcW w:type="dxa" w:w="785"/>
          </w:tcPr>
          <w:p>
            <w:r>
              <w:rPr>
                <w:sz w:val="17"/>
              </w:rPr>
            </w:r>
            <w:r>
              <w:rPr>
                <w:sz w:val="17"/>
              </w:rPr>
              <w:t>39 021</w:t>
            </w:r>
          </w:p>
        </w:tc>
        <w:tc>
          <w:tcPr>
            <w:tcW w:type="dxa" w:w="785"/>
          </w:tcPr>
          <w:p>
            <w:r>
              <w:rPr>
                <w:sz w:val="17"/>
              </w:rPr>
            </w:r>
            <w:r>
              <w:rPr>
                <w:sz w:val="17"/>
              </w:rPr>
              <w:t>56 858</w:t>
            </w:r>
          </w:p>
        </w:tc>
        <w:tc>
          <w:tcPr>
            <w:tcW w:type="dxa" w:w="785"/>
          </w:tcPr>
          <w:p>
            <w:r>
              <w:rPr>
                <w:sz w:val="17"/>
              </w:rPr>
            </w:r>
            <w:r>
              <w:rPr>
                <w:sz w:val="17"/>
              </w:rPr>
              <w:t>76 685</w:t>
            </w:r>
          </w:p>
        </w:tc>
        <w:tc>
          <w:tcPr>
            <w:tcW w:type="dxa" w:w="785"/>
          </w:tcPr>
          <w:p>
            <w:r>
              <w:rPr>
                <w:sz w:val="17"/>
              </w:rPr>
            </w:r>
            <w:r>
              <w:rPr>
                <w:sz w:val="17"/>
              </w:rPr>
              <w:t>98 345</w:t>
            </w:r>
          </w:p>
        </w:tc>
        <w:tc>
          <w:tcPr>
            <w:tcW w:type="dxa" w:w="785"/>
          </w:tcPr>
          <w:p>
            <w:r>
              <w:rPr>
                <w:sz w:val="17"/>
              </w:rPr>
            </w:r>
            <w:r>
              <w:rPr>
                <w:sz w:val="17"/>
              </w:rPr>
              <w:t>120 874</w:t>
            </w:r>
          </w:p>
        </w:tc>
        <w:tc>
          <w:tcPr>
            <w:tcW w:type="dxa" w:w="785"/>
          </w:tcPr>
          <w:p>
            <w:r>
              <w:rPr>
                <w:sz w:val="17"/>
              </w:rPr>
            </w:r>
            <w:r>
              <w:rPr>
                <w:sz w:val="17"/>
              </w:rPr>
              <w:t>142 615</w:t>
            </w:r>
          </w:p>
        </w:tc>
      </w:tr>
    </w:tbl>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Pour mémoire</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Pour mémoire : encaissements bruts</w:t>
            </w:r>
          </w:p>
        </w:tc>
        <w:tc>
          <w:tcPr>
            <w:tcW w:type="dxa" w:w="785"/>
          </w:tcPr>
          <w:p>
            <w:r>
              <w:rPr>
                <w:sz w:val="17"/>
              </w:rPr>
            </w:r>
            <w:r>
              <w:rPr>
                <w:sz w:val="17"/>
              </w:rPr>
              <w:t>0</w:t>
            </w:r>
          </w:p>
        </w:tc>
        <w:tc>
          <w:tcPr>
            <w:tcW w:type="dxa" w:w="785"/>
          </w:tcPr>
          <w:p>
            <w:r>
              <w:rPr>
                <w:sz w:val="17"/>
              </w:rPr>
            </w:r>
            <w:r>
              <w:rPr>
                <w:sz w:val="17"/>
              </w:rPr>
              <w:t>2 075</w:t>
            </w:r>
          </w:p>
        </w:tc>
        <w:tc>
          <w:tcPr>
            <w:tcW w:type="dxa" w:w="785"/>
          </w:tcPr>
          <w:p>
            <w:r>
              <w:rPr>
                <w:sz w:val="17"/>
              </w:rPr>
            </w:r>
            <w:r>
              <w:rPr>
                <w:sz w:val="17"/>
              </w:rPr>
              <w:t>10 099</w:t>
            </w:r>
          </w:p>
        </w:tc>
        <w:tc>
          <w:tcPr>
            <w:tcW w:type="dxa" w:w="785"/>
          </w:tcPr>
          <w:p>
            <w:r>
              <w:rPr>
                <w:sz w:val="17"/>
              </w:rPr>
            </w:r>
            <w:r>
              <w:rPr>
                <w:sz w:val="17"/>
              </w:rPr>
              <w:t>26 892</w:t>
            </w:r>
          </w:p>
        </w:tc>
        <w:tc>
          <w:tcPr>
            <w:tcW w:type="dxa" w:w="785"/>
          </w:tcPr>
          <w:p>
            <w:r>
              <w:rPr>
                <w:sz w:val="17"/>
              </w:rPr>
            </w:r>
            <w:r>
              <w:rPr>
                <w:sz w:val="17"/>
              </w:rPr>
              <w:t>57 950</w:t>
            </w:r>
          </w:p>
        </w:tc>
        <w:tc>
          <w:tcPr>
            <w:tcW w:type="dxa" w:w="785"/>
          </w:tcPr>
          <w:p>
            <w:r>
              <w:rPr>
                <w:sz w:val="17"/>
              </w:rPr>
            </w:r>
            <w:r>
              <w:rPr>
                <w:sz w:val="17"/>
              </w:rPr>
              <w:t>81 019</w:t>
            </w:r>
          </w:p>
        </w:tc>
        <w:tc>
          <w:tcPr>
            <w:tcW w:type="dxa" w:w="785"/>
          </w:tcPr>
          <w:p>
            <w:r>
              <w:rPr>
                <w:sz w:val="17"/>
              </w:rPr>
            </w:r>
            <w:r>
              <w:rPr>
                <w:sz w:val="17"/>
              </w:rPr>
              <w:t>106 000</w:t>
            </w:r>
          </w:p>
        </w:tc>
        <w:tc>
          <w:tcPr>
            <w:tcW w:type="dxa" w:w="785"/>
          </w:tcPr>
          <w:p>
            <w:r>
              <w:rPr>
                <w:sz w:val="17"/>
              </w:rPr>
            </w:r>
            <w:r>
              <w:rPr>
                <w:sz w:val="17"/>
              </w:rPr>
              <w:t>133 188</w:t>
            </w:r>
          </w:p>
        </w:tc>
        <w:tc>
          <w:tcPr>
            <w:tcW w:type="dxa" w:w="785"/>
          </w:tcPr>
          <w:p>
            <w:r>
              <w:rPr>
                <w:sz w:val="17"/>
              </w:rPr>
            </w:r>
            <w:r>
              <w:rPr>
                <w:sz w:val="17"/>
              </w:rPr>
              <w:t>161 640</w:t>
            </w:r>
          </w:p>
        </w:tc>
        <w:tc>
          <w:tcPr>
            <w:tcW w:type="dxa" w:w="785"/>
          </w:tcPr>
          <w:p>
            <w:r>
              <w:rPr>
                <w:sz w:val="17"/>
              </w:rPr>
            </w:r>
            <w:r>
              <w:rPr>
                <w:sz w:val="17"/>
              </w:rPr>
              <w:t>189 722</w:t>
            </w:r>
          </w:p>
        </w:tc>
      </w:tr>
    </w:tbl>
    <w:p/>
    <w:p>
      <w:pPr>
        <w:jc w:val="both"/>
      </w:pPr>
      <w:r>
        <w:t>Les encaissements bruts représentent l’ensemble des sommes transitant par la plateforme, y compris les paiements en contrepartie aux évaluateurs et aux assureurs. L’écart entre encaissements bruts et chiffre d’affaires correspond à de l’argent de tiers ; le présenter comme un produit de la plateforme serait incorrect.</w:t>
      </w:r>
    </w:p>
    <w:p>
      <w:pPr>
        <w:pStyle w:val="Heading2"/>
      </w:pPr>
      <w:r>
        <w:t>Feuille 3. Compte de résultat</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Paramètre</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Chiffre d’affaires</w:t>
            </w:r>
          </w:p>
        </w:tc>
        <w:tc>
          <w:tcPr>
            <w:tcW w:type="dxa" w:w="785"/>
          </w:tcPr>
          <w:p>
            <w:r>
              <w:rPr>
                <w:sz w:val="17"/>
              </w:rPr>
            </w:r>
            <w:r>
              <w:rPr>
                <w:sz w:val="17"/>
              </w:rPr>
              <w:t>0</w:t>
            </w:r>
          </w:p>
        </w:tc>
        <w:tc>
          <w:tcPr>
            <w:tcW w:type="dxa" w:w="785"/>
          </w:tcPr>
          <w:p>
            <w:r>
              <w:rPr>
                <w:sz w:val="17"/>
              </w:rPr>
            </w:r>
            <w:r>
              <w:rPr>
                <w:sz w:val="17"/>
              </w:rPr>
              <w:t>1 310</w:t>
            </w:r>
          </w:p>
        </w:tc>
        <w:tc>
          <w:tcPr>
            <w:tcW w:type="dxa" w:w="785"/>
          </w:tcPr>
          <w:p>
            <w:r>
              <w:rPr>
                <w:sz w:val="17"/>
              </w:rPr>
            </w:r>
            <w:r>
              <w:rPr>
                <w:sz w:val="17"/>
              </w:rPr>
              <w:t>6 519</w:t>
            </w:r>
          </w:p>
        </w:tc>
        <w:tc>
          <w:tcPr>
            <w:tcW w:type="dxa" w:w="785"/>
          </w:tcPr>
          <w:p>
            <w:r>
              <w:rPr>
                <w:sz w:val="17"/>
              </w:rPr>
            </w:r>
            <w:r>
              <w:rPr>
                <w:sz w:val="17"/>
              </w:rPr>
              <w:t>17 791</w:t>
            </w:r>
          </w:p>
        </w:tc>
        <w:tc>
          <w:tcPr>
            <w:tcW w:type="dxa" w:w="785"/>
          </w:tcPr>
          <w:p>
            <w:r>
              <w:rPr>
                <w:sz w:val="17"/>
              </w:rPr>
            </w:r>
            <w:r>
              <w:rPr>
                <w:sz w:val="17"/>
              </w:rPr>
              <w:t>39 021</w:t>
            </w:r>
          </w:p>
        </w:tc>
        <w:tc>
          <w:tcPr>
            <w:tcW w:type="dxa" w:w="785"/>
          </w:tcPr>
          <w:p>
            <w:r>
              <w:rPr>
                <w:sz w:val="17"/>
              </w:rPr>
            </w:r>
            <w:r>
              <w:rPr>
                <w:sz w:val="17"/>
              </w:rPr>
              <w:t>56 858</w:t>
            </w:r>
          </w:p>
        </w:tc>
        <w:tc>
          <w:tcPr>
            <w:tcW w:type="dxa" w:w="785"/>
          </w:tcPr>
          <w:p>
            <w:r>
              <w:rPr>
                <w:sz w:val="17"/>
              </w:rPr>
            </w:r>
            <w:r>
              <w:rPr>
                <w:sz w:val="17"/>
              </w:rPr>
              <w:t>76 685</w:t>
            </w:r>
          </w:p>
        </w:tc>
        <w:tc>
          <w:tcPr>
            <w:tcW w:type="dxa" w:w="785"/>
          </w:tcPr>
          <w:p>
            <w:r>
              <w:rPr>
                <w:sz w:val="17"/>
              </w:rPr>
            </w:r>
            <w:r>
              <w:rPr>
                <w:sz w:val="17"/>
              </w:rPr>
              <w:t>98 345</w:t>
            </w:r>
          </w:p>
        </w:tc>
        <w:tc>
          <w:tcPr>
            <w:tcW w:type="dxa" w:w="785"/>
          </w:tcPr>
          <w:p>
            <w:r>
              <w:rPr>
                <w:sz w:val="17"/>
              </w:rPr>
            </w:r>
            <w:r>
              <w:rPr>
                <w:sz w:val="17"/>
              </w:rPr>
              <w:t>120 874</w:t>
            </w:r>
          </w:p>
        </w:tc>
        <w:tc>
          <w:tcPr>
            <w:tcW w:type="dxa" w:w="785"/>
          </w:tcPr>
          <w:p>
            <w:r>
              <w:rPr>
                <w:sz w:val="17"/>
              </w:rPr>
            </w:r>
            <w:r>
              <w:rPr>
                <w:sz w:val="17"/>
              </w:rPr>
              <w:t>142 615</w:t>
            </w:r>
          </w:p>
        </w:tc>
      </w:tr>
      <w:tr>
        <w:tc>
          <w:tcPr>
            <w:tcW w:type="dxa" w:w="785"/>
          </w:tcPr>
          <w:p>
            <w:r>
              <w:rPr>
                <w:sz w:val="17"/>
              </w:rPr>
            </w:r>
            <w:r>
              <w:rPr>
                <w:sz w:val="17"/>
              </w:rPr>
              <w:t>Masse salariale avec cotisations</w:t>
            </w:r>
          </w:p>
        </w:tc>
        <w:tc>
          <w:tcPr>
            <w:tcW w:type="dxa" w:w="785"/>
          </w:tcPr>
          <w:p>
            <w:r>
              <w:rPr>
                <w:sz w:val="17"/>
              </w:rPr>
            </w:r>
            <w:r>
              <w:rPr>
                <w:sz w:val="17"/>
              </w:rPr>
              <w:t>−218</w:t>
            </w:r>
          </w:p>
        </w:tc>
        <w:tc>
          <w:tcPr>
            <w:tcW w:type="dxa" w:w="785"/>
          </w:tcPr>
          <w:p>
            <w:r>
              <w:rPr>
                <w:sz w:val="17"/>
              </w:rPr>
            </w:r>
            <w:r>
              <w:rPr>
                <w:sz w:val="17"/>
              </w:rPr>
              <w:t>−695</w:t>
            </w:r>
          </w:p>
        </w:tc>
        <w:tc>
          <w:tcPr>
            <w:tcW w:type="dxa" w:w="785"/>
          </w:tcPr>
          <w:p>
            <w:r>
              <w:rPr>
                <w:sz w:val="17"/>
              </w:rPr>
            </w:r>
            <w:r>
              <w:rPr>
                <w:sz w:val="17"/>
              </w:rPr>
              <w:t>−982</w:t>
            </w:r>
          </w:p>
        </w:tc>
        <w:tc>
          <w:tcPr>
            <w:tcW w:type="dxa" w:w="785"/>
          </w:tcPr>
          <w:p>
            <w:r>
              <w:rPr>
                <w:sz w:val="17"/>
              </w:rPr>
            </w:r>
            <w:r>
              <w:rPr>
                <w:sz w:val="17"/>
              </w:rPr>
              <w:t>−1 301</w:t>
            </w:r>
          </w:p>
        </w:tc>
        <w:tc>
          <w:tcPr>
            <w:tcW w:type="dxa" w:w="785"/>
          </w:tcPr>
          <w:p>
            <w:r>
              <w:rPr>
                <w:sz w:val="17"/>
              </w:rPr>
            </w:r>
            <w:r>
              <w:rPr>
                <w:sz w:val="17"/>
              </w:rPr>
              <w:t>−1 654</w:t>
            </w:r>
          </w:p>
        </w:tc>
        <w:tc>
          <w:tcPr>
            <w:tcW w:type="dxa" w:w="785"/>
          </w:tcPr>
          <w:p>
            <w:r>
              <w:rPr>
                <w:sz w:val="17"/>
              </w:rPr>
            </w:r>
            <w:r>
              <w:rPr>
                <w:sz w:val="17"/>
              </w:rPr>
              <w:t>−1 973</w:t>
            </w:r>
          </w:p>
        </w:tc>
        <w:tc>
          <w:tcPr>
            <w:tcW w:type="dxa" w:w="785"/>
          </w:tcPr>
          <w:p>
            <w:r>
              <w:rPr>
                <w:sz w:val="17"/>
              </w:rPr>
            </w:r>
            <w:r>
              <w:rPr>
                <w:sz w:val="17"/>
              </w:rPr>
              <w:t>−2 324</w:t>
            </w:r>
          </w:p>
        </w:tc>
        <w:tc>
          <w:tcPr>
            <w:tcW w:type="dxa" w:w="785"/>
          </w:tcPr>
          <w:p>
            <w:r>
              <w:rPr>
                <w:sz w:val="17"/>
              </w:rPr>
            </w:r>
            <w:r>
              <w:rPr>
                <w:sz w:val="17"/>
              </w:rPr>
              <w:t>−2 709</w:t>
            </w:r>
          </w:p>
        </w:tc>
        <w:tc>
          <w:tcPr>
            <w:tcW w:type="dxa" w:w="785"/>
          </w:tcPr>
          <w:p>
            <w:r>
              <w:rPr>
                <w:sz w:val="17"/>
              </w:rPr>
            </w:r>
            <w:r>
              <w:rPr>
                <w:sz w:val="17"/>
              </w:rPr>
              <w:t>−3 046</w:t>
            </w:r>
          </w:p>
        </w:tc>
        <w:tc>
          <w:tcPr>
            <w:tcW w:type="dxa" w:w="785"/>
          </w:tcPr>
          <w:p>
            <w:r>
              <w:rPr>
                <w:sz w:val="17"/>
              </w:rPr>
            </w:r>
            <w:r>
              <w:rPr>
                <w:sz w:val="17"/>
              </w:rPr>
              <w:t>−3 413</w:t>
            </w:r>
          </w:p>
        </w:tc>
      </w:tr>
      <w:tr>
        <w:tc>
          <w:tcPr>
            <w:tcW w:type="dxa" w:w="785"/>
          </w:tcPr>
          <w:p>
            <w:r>
              <w:rPr>
                <w:sz w:val="17"/>
              </w:rPr>
            </w:r>
            <w:r>
              <w:rPr>
                <w:sz w:val="17"/>
              </w:rPr>
              <w:t>Autres charges d’exploitation</w:t>
            </w:r>
          </w:p>
        </w:tc>
        <w:tc>
          <w:tcPr>
            <w:tcW w:type="dxa" w:w="785"/>
          </w:tcPr>
          <w:p>
            <w:r>
              <w:rPr>
                <w:sz w:val="17"/>
              </w:rPr>
            </w:r>
            <w:r>
              <w:rPr>
                <w:sz w:val="17"/>
              </w:rPr>
              <w:t>−502</w:t>
            </w:r>
          </w:p>
        </w:tc>
        <w:tc>
          <w:tcPr>
            <w:tcW w:type="dxa" w:w="785"/>
          </w:tcPr>
          <w:p>
            <w:r>
              <w:rPr>
                <w:sz w:val="17"/>
              </w:rPr>
            </w:r>
            <w:r>
              <w:rPr>
                <w:sz w:val="17"/>
              </w:rPr>
              <w:t>−810</w:t>
            </w:r>
          </w:p>
        </w:tc>
        <w:tc>
          <w:tcPr>
            <w:tcW w:type="dxa" w:w="785"/>
          </w:tcPr>
          <w:p>
            <w:r>
              <w:rPr>
                <w:sz w:val="17"/>
              </w:rPr>
            </w:r>
            <w:r>
              <w:rPr>
                <w:sz w:val="17"/>
              </w:rPr>
              <w:t>−1 977</w:t>
            </w:r>
          </w:p>
        </w:tc>
        <w:tc>
          <w:tcPr>
            <w:tcW w:type="dxa" w:w="785"/>
          </w:tcPr>
          <w:p>
            <w:r>
              <w:rPr>
                <w:sz w:val="17"/>
              </w:rPr>
            </w:r>
            <w:r>
              <w:rPr>
                <w:sz w:val="17"/>
              </w:rPr>
              <w:t>−4 479</w:t>
            </w:r>
          </w:p>
        </w:tc>
        <w:tc>
          <w:tcPr>
            <w:tcW w:type="dxa" w:w="785"/>
          </w:tcPr>
          <w:p>
            <w:r>
              <w:rPr>
                <w:sz w:val="17"/>
              </w:rPr>
            </w:r>
            <w:r>
              <w:rPr>
                <w:sz w:val="17"/>
              </w:rPr>
              <w:t>−9 172</w:t>
            </w:r>
          </w:p>
        </w:tc>
        <w:tc>
          <w:tcPr>
            <w:tcW w:type="dxa" w:w="785"/>
          </w:tcPr>
          <w:p>
            <w:r>
              <w:rPr>
                <w:sz w:val="17"/>
              </w:rPr>
            </w:r>
            <w:r>
              <w:rPr>
                <w:sz w:val="17"/>
              </w:rPr>
              <w:t>−13 120</w:t>
            </w:r>
          </w:p>
        </w:tc>
        <w:tc>
          <w:tcPr>
            <w:tcW w:type="dxa" w:w="785"/>
          </w:tcPr>
          <w:p>
            <w:r>
              <w:rPr>
                <w:sz w:val="17"/>
              </w:rPr>
            </w:r>
            <w:r>
              <w:rPr>
                <w:sz w:val="17"/>
              </w:rPr>
              <w:t>−17 506</w:t>
            </w:r>
          </w:p>
        </w:tc>
        <w:tc>
          <w:tcPr>
            <w:tcW w:type="dxa" w:w="785"/>
          </w:tcPr>
          <w:p>
            <w:r>
              <w:rPr>
                <w:sz w:val="17"/>
              </w:rPr>
            </w:r>
            <w:r>
              <w:rPr>
                <w:sz w:val="17"/>
              </w:rPr>
              <w:t>−22 297</w:t>
            </w:r>
          </w:p>
        </w:tc>
        <w:tc>
          <w:tcPr>
            <w:tcW w:type="dxa" w:w="785"/>
          </w:tcPr>
          <w:p>
            <w:r>
              <w:rPr>
                <w:sz w:val="17"/>
              </w:rPr>
            </w:r>
            <w:r>
              <w:rPr>
                <w:sz w:val="17"/>
              </w:rPr>
              <w:t>−27 279</w:t>
            </w:r>
          </w:p>
        </w:tc>
        <w:tc>
          <w:tcPr>
            <w:tcW w:type="dxa" w:w="785"/>
          </w:tcPr>
          <w:p>
            <w:r>
              <w:rPr>
                <w:sz w:val="17"/>
              </w:rPr>
            </w:r>
            <w:r>
              <w:rPr>
                <w:sz w:val="17"/>
              </w:rPr>
              <w:t>−32 090</w:t>
            </w:r>
          </w:p>
        </w:tc>
      </w:tr>
      <w:tr>
        <w:tc>
          <w:tcPr>
            <w:tcW w:type="dxa" w:w="785"/>
          </w:tcPr>
          <w:p>
            <w:r>
              <w:rPr>
                <w:sz w:val="17"/>
              </w:rPr>
            </w:r>
            <w:r>
              <w:rPr>
                <w:b/>
                <w:sz w:val="17"/>
              </w:rPr>
              <w:t>Total des charges d’exploitation</w:t>
            </w:r>
          </w:p>
        </w:tc>
        <w:tc>
          <w:tcPr>
            <w:tcW w:type="dxa" w:w="785"/>
          </w:tcPr>
          <w:p>
            <w:r>
              <w:rPr>
                <w:sz w:val="17"/>
              </w:rPr>
            </w:r>
            <w:r>
              <w:rPr>
                <w:sz w:val="17"/>
              </w:rPr>
              <w:t>−720</w:t>
            </w:r>
          </w:p>
        </w:tc>
        <w:tc>
          <w:tcPr>
            <w:tcW w:type="dxa" w:w="785"/>
          </w:tcPr>
          <w:p>
            <w:r>
              <w:rPr>
                <w:sz w:val="17"/>
              </w:rPr>
            </w:r>
            <w:r>
              <w:rPr>
                <w:sz w:val="17"/>
              </w:rPr>
              <w:t>−1 505</w:t>
            </w:r>
          </w:p>
        </w:tc>
        <w:tc>
          <w:tcPr>
            <w:tcW w:type="dxa" w:w="785"/>
          </w:tcPr>
          <w:p>
            <w:r>
              <w:rPr>
                <w:sz w:val="17"/>
              </w:rPr>
            </w:r>
            <w:r>
              <w:rPr>
                <w:sz w:val="17"/>
              </w:rPr>
              <w:t>−2 959</w:t>
            </w:r>
          </w:p>
        </w:tc>
        <w:tc>
          <w:tcPr>
            <w:tcW w:type="dxa" w:w="785"/>
          </w:tcPr>
          <w:p>
            <w:r>
              <w:rPr>
                <w:sz w:val="17"/>
              </w:rPr>
            </w:r>
            <w:r>
              <w:rPr>
                <w:sz w:val="17"/>
              </w:rPr>
              <w:t>−5 779</w:t>
            </w:r>
          </w:p>
        </w:tc>
        <w:tc>
          <w:tcPr>
            <w:tcW w:type="dxa" w:w="785"/>
          </w:tcPr>
          <w:p>
            <w:r>
              <w:rPr>
                <w:sz w:val="17"/>
              </w:rPr>
            </w:r>
            <w:r>
              <w:rPr>
                <w:sz w:val="17"/>
              </w:rPr>
              <w:t>−10 826</w:t>
            </w:r>
          </w:p>
        </w:tc>
        <w:tc>
          <w:tcPr>
            <w:tcW w:type="dxa" w:w="785"/>
          </w:tcPr>
          <w:p>
            <w:r>
              <w:rPr>
                <w:sz w:val="17"/>
              </w:rPr>
            </w:r>
            <w:r>
              <w:rPr>
                <w:sz w:val="17"/>
              </w:rPr>
              <w:t>−15 092</w:t>
            </w:r>
          </w:p>
        </w:tc>
        <w:tc>
          <w:tcPr>
            <w:tcW w:type="dxa" w:w="785"/>
          </w:tcPr>
          <w:p>
            <w:r>
              <w:rPr>
                <w:sz w:val="17"/>
              </w:rPr>
            </w:r>
            <w:r>
              <w:rPr>
                <w:sz w:val="17"/>
              </w:rPr>
              <w:t>−19 829</w:t>
            </w:r>
          </w:p>
        </w:tc>
        <w:tc>
          <w:tcPr>
            <w:tcW w:type="dxa" w:w="785"/>
          </w:tcPr>
          <w:p>
            <w:r>
              <w:rPr>
                <w:sz w:val="17"/>
              </w:rPr>
            </w:r>
            <w:r>
              <w:rPr>
                <w:sz w:val="17"/>
              </w:rPr>
              <w:t>−25 006</w:t>
            </w:r>
          </w:p>
        </w:tc>
        <w:tc>
          <w:tcPr>
            <w:tcW w:type="dxa" w:w="785"/>
          </w:tcPr>
          <w:p>
            <w:r>
              <w:rPr>
                <w:sz w:val="17"/>
              </w:rPr>
            </w:r>
            <w:r>
              <w:rPr>
                <w:sz w:val="17"/>
              </w:rPr>
              <w:t>−30 325</w:t>
            </w:r>
          </w:p>
        </w:tc>
        <w:tc>
          <w:tcPr>
            <w:tcW w:type="dxa" w:w="785"/>
          </w:tcPr>
          <w:p>
            <w:r>
              <w:rPr>
                <w:sz w:val="17"/>
              </w:rPr>
            </w:r>
            <w:r>
              <w:rPr>
                <w:sz w:val="17"/>
              </w:rPr>
              <w:t>−35 503</w:t>
            </w:r>
          </w:p>
        </w:tc>
      </w:tr>
      <w:tr>
        <w:tc>
          <w:tcPr>
            <w:tcW w:type="dxa" w:w="785"/>
          </w:tcPr>
          <w:p>
            <w:r>
              <w:rPr>
                <w:sz w:val="17"/>
              </w:rPr>
            </w:r>
            <w:r>
              <w:rPr>
                <w:b/>
                <w:sz w:val="17"/>
              </w:rPr>
              <w:t>EBITDA</w:t>
            </w:r>
          </w:p>
        </w:tc>
        <w:tc>
          <w:tcPr>
            <w:tcW w:type="dxa" w:w="785"/>
          </w:tcPr>
          <w:p>
            <w:r>
              <w:rPr>
                <w:sz w:val="17"/>
              </w:rPr>
            </w:r>
            <w:r>
              <w:rPr>
                <w:sz w:val="17"/>
              </w:rPr>
              <w:t>−720</w:t>
            </w:r>
          </w:p>
        </w:tc>
        <w:tc>
          <w:tcPr>
            <w:tcW w:type="dxa" w:w="785"/>
          </w:tcPr>
          <w:p>
            <w:r>
              <w:rPr>
                <w:sz w:val="17"/>
              </w:rPr>
            </w:r>
            <w:r>
              <w:rPr>
                <w:sz w:val="17"/>
              </w:rPr>
              <w:t>−195</w:t>
            </w:r>
          </w:p>
        </w:tc>
        <w:tc>
          <w:tcPr>
            <w:tcW w:type="dxa" w:w="785"/>
          </w:tcPr>
          <w:p>
            <w:r>
              <w:rPr>
                <w:sz w:val="17"/>
              </w:rPr>
            </w:r>
            <w:r>
              <w:rPr>
                <w:sz w:val="17"/>
              </w:rPr>
              <w:t>3 560</w:t>
            </w:r>
          </w:p>
        </w:tc>
        <w:tc>
          <w:tcPr>
            <w:tcW w:type="dxa" w:w="785"/>
          </w:tcPr>
          <w:p>
            <w:r>
              <w:rPr>
                <w:sz w:val="17"/>
              </w:rPr>
            </w:r>
            <w:r>
              <w:rPr>
                <w:sz w:val="17"/>
              </w:rPr>
              <w:t>12 012</w:t>
            </w:r>
          </w:p>
        </w:tc>
        <w:tc>
          <w:tcPr>
            <w:tcW w:type="dxa" w:w="785"/>
          </w:tcPr>
          <w:p>
            <w:r>
              <w:rPr>
                <w:sz w:val="17"/>
              </w:rPr>
            </w:r>
            <w:r>
              <w:rPr>
                <w:sz w:val="17"/>
              </w:rPr>
              <w:t>28 195</w:t>
            </w:r>
          </w:p>
        </w:tc>
        <w:tc>
          <w:tcPr>
            <w:tcW w:type="dxa" w:w="785"/>
          </w:tcPr>
          <w:p>
            <w:r>
              <w:rPr>
                <w:sz w:val="17"/>
              </w:rPr>
            </w:r>
            <w:r>
              <w:rPr>
                <w:sz w:val="17"/>
              </w:rPr>
              <w:t>41 766</w:t>
            </w:r>
          </w:p>
        </w:tc>
        <w:tc>
          <w:tcPr>
            <w:tcW w:type="dxa" w:w="785"/>
          </w:tcPr>
          <w:p>
            <w:r>
              <w:rPr>
                <w:sz w:val="17"/>
              </w:rPr>
            </w:r>
            <w:r>
              <w:rPr>
                <w:sz w:val="17"/>
              </w:rPr>
              <w:t>56 856</w:t>
            </w:r>
          </w:p>
        </w:tc>
        <w:tc>
          <w:tcPr>
            <w:tcW w:type="dxa" w:w="785"/>
          </w:tcPr>
          <w:p>
            <w:r>
              <w:rPr>
                <w:sz w:val="17"/>
              </w:rPr>
            </w:r>
            <w:r>
              <w:rPr>
                <w:sz w:val="17"/>
              </w:rPr>
              <w:t>73 339</w:t>
            </w:r>
          </w:p>
        </w:tc>
        <w:tc>
          <w:tcPr>
            <w:tcW w:type="dxa" w:w="785"/>
          </w:tcPr>
          <w:p>
            <w:r>
              <w:rPr>
                <w:sz w:val="17"/>
              </w:rPr>
            </w:r>
            <w:r>
              <w:rPr>
                <w:sz w:val="17"/>
              </w:rPr>
              <w:t>90 549</w:t>
            </w:r>
          </w:p>
        </w:tc>
        <w:tc>
          <w:tcPr>
            <w:tcW w:type="dxa" w:w="785"/>
          </w:tcPr>
          <w:p>
            <w:r>
              <w:rPr>
                <w:sz w:val="17"/>
              </w:rPr>
            </w:r>
            <w:r>
              <w:rPr>
                <w:sz w:val="17"/>
              </w:rPr>
              <w:t>107 112</w:t>
            </w:r>
          </w:p>
        </w:tc>
      </w:tr>
      <w:tr>
        <w:tc>
          <w:tcPr>
            <w:tcW w:type="dxa" w:w="785"/>
          </w:tcPr>
          <w:p>
            <w:r>
              <w:rPr>
                <w:sz w:val="17"/>
              </w:rPr>
            </w:r>
            <w:r>
              <w:rPr>
                <w:sz w:val="17"/>
              </w:rPr>
              <w:t>Marge d’EBITDA, %</w:t>
            </w:r>
          </w:p>
        </w:tc>
        <w:tc>
          <w:tcPr>
            <w:tcW w:type="dxa" w:w="785"/>
          </w:tcPr>
          <w:p>
            <w:r>
              <w:rPr>
                <w:sz w:val="17"/>
              </w:rPr>
            </w:r>
            <w:r>
              <w:rPr>
                <w:sz w:val="17"/>
              </w:rPr>
              <w:t>—</w:t>
            </w:r>
          </w:p>
        </w:tc>
        <w:tc>
          <w:tcPr>
            <w:tcW w:type="dxa" w:w="785"/>
          </w:tcPr>
          <w:p>
            <w:r>
              <w:rPr>
                <w:sz w:val="17"/>
              </w:rPr>
            </w:r>
            <w:r>
              <w:rPr>
                <w:sz w:val="17"/>
              </w:rPr>
              <w:t>-14,9</w:t>
            </w:r>
          </w:p>
        </w:tc>
        <w:tc>
          <w:tcPr>
            <w:tcW w:type="dxa" w:w="785"/>
          </w:tcPr>
          <w:p>
            <w:r>
              <w:rPr>
                <w:sz w:val="17"/>
              </w:rPr>
            </w:r>
            <w:r>
              <w:rPr>
                <w:sz w:val="17"/>
              </w:rPr>
              <w:t>54,6</w:t>
            </w:r>
          </w:p>
        </w:tc>
        <w:tc>
          <w:tcPr>
            <w:tcW w:type="dxa" w:w="785"/>
          </w:tcPr>
          <w:p>
            <w:r>
              <w:rPr>
                <w:sz w:val="17"/>
              </w:rPr>
            </w:r>
            <w:r>
              <w:rPr>
                <w:sz w:val="17"/>
              </w:rPr>
              <w:t>67,5</w:t>
            </w:r>
          </w:p>
        </w:tc>
        <w:tc>
          <w:tcPr>
            <w:tcW w:type="dxa" w:w="785"/>
          </w:tcPr>
          <w:p>
            <w:r>
              <w:rPr>
                <w:sz w:val="17"/>
              </w:rPr>
            </w:r>
            <w:r>
              <w:rPr>
                <w:sz w:val="17"/>
              </w:rPr>
              <w:t>72,3</w:t>
            </w:r>
          </w:p>
        </w:tc>
        <w:tc>
          <w:tcPr>
            <w:tcW w:type="dxa" w:w="785"/>
          </w:tcPr>
          <w:p>
            <w:r>
              <w:rPr>
                <w:sz w:val="17"/>
              </w:rPr>
            </w:r>
            <w:r>
              <w:rPr>
                <w:sz w:val="17"/>
              </w:rPr>
              <w:t>73,5</w:t>
            </w:r>
          </w:p>
        </w:tc>
        <w:tc>
          <w:tcPr>
            <w:tcW w:type="dxa" w:w="785"/>
          </w:tcPr>
          <w:p>
            <w:r>
              <w:rPr>
                <w:sz w:val="17"/>
              </w:rPr>
            </w:r>
            <w:r>
              <w:rPr>
                <w:sz w:val="17"/>
              </w:rPr>
              <w:t>74,1</w:t>
            </w:r>
          </w:p>
        </w:tc>
        <w:tc>
          <w:tcPr>
            <w:tcW w:type="dxa" w:w="785"/>
          </w:tcPr>
          <w:p>
            <w:r>
              <w:rPr>
                <w:sz w:val="17"/>
              </w:rPr>
            </w:r>
            <w:r>
              <w:rPr>
                <w:sz w:val="17"/>
              </w:rPr>
              <w:t>74,6</w:t>
            </w:r>
          </w:p>
        </w:tc>
        <w:tc>
          <w:tcPr>
            <w:tcW w:type="dxa" w:w="785"/>
          </w:tcPr>
          <w:p>
            <w:r>
              <w:rPr>
                <w:sz w:val="17"/>
              </w:rPr>
            </w:r>
            <w:r>
              <w:rPr>
                <w:sz w:val="17"/>
              </w:rPr>
              <w:t>74,9</w:t>
            </w:r>
          </w:p>
        </w:tc>
        <w:tc>
          <w:tcPr>
            <w:tcW w:type="dxa" w:w="785"/>
          </w:tcPr>
          <w:p>
            <w:r>
              <w:rPr>
                <w:sz w:val="17"/>
              </w:rPr>
            </w:r>
            <w:r>
              <w:rPr>
                <w:sz w:val="17"/>
              </w:rPr>
              <w:t>75,1</w:t>
            </w:r>
          </w:p>
        </w:tc>
      </w:tr>
      <w:tr>
        <w:tc>
          <w:tcPr>
            <w:tcW w:type="dxa" w:w="785"/>
          </w:tcPr>
          <w:p>
            <w:r>
              <w:rPr>
                <w:sz w:val="17"/>
              </w:rPr>
            </w:r>
            <w:r>
              <w:rPr>
                <w:sz w:val="17"/>
              </w:rPr>
              <w:t>Amortissement</w:t>
            </w:r>
          </w:p>
        </w:tc>
        <w:tc>
          <w:tcPr>
            <w:tcW w:type="dxa" w:w="785"/>
          </w:tcPr>
          <w:p>
            <w:r>
              <w:rPr>
                <w:sz w:val="17"/>
              </w:rPr>
            </w:r>
            <w:r>
              <w:rPr>
                <w:sz w:val="17"/>
              </w:rPr>
              <w:t>−43</w:t>
            </w:r>
          </w:p>
        </w:tc>
        <w:tc>
          <w:tcPr>
            <w:tcW w:type="dxa" w:w="785"/>
          </w:tcPr>
          <w:p>
            <w:r>
              <w:rPr>
                <w:sz w:val="17"/>
              </w:rPr>
            </w:r>
            <w:r>
              <w:rPr>
                <w:sz w:val="17"/>
              </w:rPr>
              <w:t>−103</w:t>
            </w:r>
          </w:p>
        </w:tc>
        <w:tc>
          <w:tcPr>
            <w:tcW w:type="dxa" w:w="785"/>
          </w:tcPr>
          <w:p>
            <w:r>
              <w:rPr>
                <w:sz w:val="17"/>
              </w:rPr>
            </w:r>
            <w:r>
              <w:rPr>
                <w:sz w:val="17"/>
              </w:rPr>
              <w:t>−160</w:t>
            </w:r>
          </w:p>
        </w:tc>
        <w:tc>
          <w:tcPr>
            <w:tcW w:type="dxa" w:w="785"/>
          </w:tcPr>
          <w:p>
            <w:r>
              <w:rPr>
                <w:sz w:val="17"/>
              </w:rPr>
            </w:r>
            <w:r>
              <w:rPr>
                <w:sz w:val="17"/>
              </w:rPr>
              <w:t>−239</w:t>
            </w:r>
          </w:p>
        </w:tc>
        <w:tc>
          <w:tcPr>
            <w:tcW w:type="dxa" w:w="785"/>
          </w:tcPr>
          <w:p>
            <w:r>
              <w:rPr>
                <w:sz w:val="17"/>
              </w:rPr>
            </w:r>
            <w:r>
              <w:rPr>
                <w:sz w:val="17"/>
              </w:rPr>
              <w:t>−496</w:t>
            </w:r>
          </w:p>
        </w:tc>
        <w:tc>
          <w:tcPr>
            <w:tcW w:type="dxa" w:w="785"/>
          </w:tcPr>
          <w:p>
            <w:r>
              <w:rPr>
                <w:sz w:val="17"/>
              </w:rPr>
            </w:r>
            <w:r>
              <w:rPr>
                <w:sz w:val="17"/>
              </w:rPr>
              <w:t>−839</w:t>
            </w:r>
          </w:p>
        </w:tc>
        <w:tc>
          <w:tcPr>
            <w:tcW w:type="dxa" w:w="785"/>
          </w:tcPr>
          <w:p>
            <w:r>
              <w:rPr>
                <w:sz w:val="17"/>
              </w:rPr>
            </w:r>
            <w:r>
              <w:rPr>
                <w:sz w:val="17"/>
              </w:rPr>
              <w:t>−1 067</w:t>
            </w:r>
          </w:p>
        </w:tc>
        <w:tc>
          <w:tcPr>
            <w:tcW w:type="dxa" w:w="785"/>
          </w:tcPr>
          <w:p>
            <w:r>
              <w:rPr>
                <w:sz w:val="17"/>
              </w:rPr>
            </w:r>
            <w:r>
              <w:rPr>
                <w:sz w:val="17"/>
              </w:rPr>
              <w:t>−1 281</w:t>
            </w:r>
          </w:p>
        </w:tc>
        <w:tc>
          <w:tcPr>
            <w:tcW w:type="dxa" w:w="785"/>
          </w:tcPr>
          <w:p>
            <w:r>
              <w:rPr>
                <w:sz w:val="17"/>
              </w:rPr>
            </w:r>
            <w:r>
              <w:rPr>
                <w:sz w:val="17"/>
              </w:rPr>
              <w:t>−1 550</w:t>
            </w:r>
          </w:p>
        </w:tc>
        <w:tc>
          <w:tcPr>
            <w:tcW w:type="dxa" w:w="785"/>
          </w:tcPr>
          <w:p>
            <w:r>
              <w:rPr>
                <w:sz w:val="17"/>
              </w:rPr>
            </w:r>
            <w:r>
              <w:rPr>
                <w:sz w:val="17"/>
              </w:rPr>
              <w:t>−1 779</w:t>
            </w:r>
          </w:p>
        </w:tc>
      </w:tr>
      <w:tr>
        <w:tc>
          <w:tcPr>
            <w:tcW w:type="dxa" w:w="785"/>
          </w:tcPr>
          <w:p>
            <w:r>
              <w:rPr>
                <w:sz w:val="17"/>
              </w:rPr>
            </w:r>
            <w:r>
              <w:rPr>
                <w:b/>
                <w:sz w:val="17"/>
              </w:rPr>
              <w:t>EBIT</w:t>
            </w:r>
          </w:p>
        </w:tc>
        <w:tc>
          <w:tcPr>
            <w:tcW w:type="dxa" w:w="785"/>
          </w:tcPr>
          <w:p>
            <w:r>
              <w:rPr>
                <w:sz w:val="17"/>
              </w:rPr>
            </w:r>
            <w:r>
              <w:rPr>
                <w:sz w:val="17"/>
              </w:rPr>
              <w:t>−763</w:t>
            </w:r>
          </w:p>
        </w:tc>
        <w:tc>
          <w:tcPr>
            <w:tcW w:type="dxa" w:w="785"/>
          </w:tcPr>
          <w:p>
            <w:r>
              <w:rPr>
                <w:sz w:val="17"/>
              </w:rPr>
            </w:r>
            <w:r>
              <w:rPr>
                <w:sz w:val="17"/>
              </w:rPr>
              <w:t>−298</w:t>
            </w:r>
          </w:p>
        </w:tc>
        <w:tc>
          <w:tcPr>
            <w:tcW w:type="dxa" w:w="785"/>
          </w:tcPr>
          <w:p>
            <w:r>
              <w:rPr>
                <w:sz w:val="17"/>
              </w:rPr>
            </w:r>
            <w:r>
              <w:rPr>
                <w:sz w:val="17"/>
              </w:rPr>
              <w:t>3 400</w:t>
            </w:r>
          </w:p>
        </w:tc>
        <w:tc>
          <w:tcPr>
            <w:tcW w:type="dxa" w:w="785"/>
          </w:tcPr>
          <w:p>
            <w:r>
              <w:rPr>
                <w:sz w:val="17"/>
              </w:rPr>
            </w:r>
            <w:r>
              <w:rPr>
                <w:sz w:val="17"/>
              </w:rPr>
              <w:t>11 773</w:t>
            </w:r>
          </w:p>
        </w:tc>
        <w:tc>
          <w:tcPr>
            <w:tcW w:type="dxa" w:w="785"/>
          </w:tcPr>
          <w:p>
            <w:r>
              <w:rPr>
                <w:sz w:val="17"/>
              </w:rPr>
            </w:r>
            <w:r>
              <w:rPr>
                <w:sz w:val="17"/>
              </w:rPr>
              <w:t>27 699</w:t>
            </w:r>
          </w:p>
        </w:tc>
        <w:tc>
          <w:tcPr>
            <w:tcW w:type="dxa" w:w="785"/>
          </w:tcPr>
          <w:p>
            <w:r>
              <w:rPr>
                <w:sz w:val="17"/>
              </w:rPr>
            </w:r>
            <w:r>
              <w:rPr>
                <w:sz w:val="17"/>
              </w:rPr>
              <w:t>40 927</w:t>
            </w:r>
          </w:p>
        </w:tc>
        <w:tc>
          <w:tcPr>
            <w:tcW w:type="dxa" w:w="785"/>
          </w:tcPr>
          <w:p>
            <w:r>
              <w:rPr>
                <w:sz w:val="17"/>
              </w:rPr>
            </w:r>
            <w:r>
              <w:rPr>
                <w:sz w:val="17"/>
              </w:rPr>
              <w:t>55 789</w:t>
            </w:r>
          </w:p>
        </w:tc>
        <w:tc>
          <w:tcPr>
            <w:tcW w:type="dxa" w:w="785"/>
          </w:tcPr>
          <w:p>
            <w:r>
              <w:rPr>
                <w:sz w:val="17"/>
              </w:rPr>
            </w:r>
            <w:r>
              <w:rPr>
                <w:sz w:val="17"/>
              </w:rPr>
              <w:t>72 058</w:t>
            </w:r>
          </w:p>
        </w:tc>
        <w:tc>
          <w:tcPr>
            <w:tcW w:type="dxa" w:w="785"/>
          </w:tcPr>
          <w:p>
            <w:r>
              <w:rPr>
                <w:sz w:val="17"/>
              </w:rPr>
            </w:r>
            <w:r>
              <w:rPr>
                <w:sz w:val="17"/>
              </w:rPr>
              <w:t>88 999</w:t>
            </w:r>
          </w:p>
        </w:tc>
        <w:tc>
          <w:tcPr>
            <w:tcW w:type="dxa" w:w="785"/>
          </w:tcPr>
          <w:p>
            <w:r>
              <w:rPr>
                <w:sz w:val="17"/>
              </w:rPr>
            </w:r>
            <w:r>
              <w:rPr>
                <w:sz w:val="17"/>
              </w:rPr>
              <w:t>105 333</w:t>
            </w:r>
          </w:p>
        </w:tc>
      </w:tr>
      <w:tr>
        <w:tc>
          <w:tcPr>
            <w:tcW w:type="dxa" w:w="785"/>
          </w:tcPr>
          <w:p>
            <w:r>
              <w:rPr>
                <w:sz w:val="17"/>
              </w:rPr>
            </w:r>
            <w:r>
              <w:rPr>
                <w:sz w:val="17"/>
              </w:rPr>
              <w:t>Impôt sur les bénéfices</w:t>
            </w:r>
          </w:p>
        </w:tc>
        <w:tc>
          <w:tcPr>
            <w:tcW w:type="dxa" w:w="785"/>
          </w:tcPr>
          <w:p>
            <w:r>
              <w:rPr>
                <w:sz w:val="17"/>
              </w:rPr>
            </w:r>
            <w:r>
              <w:rPr>
                <w:sz w:val="17"/>
              </w:rPr>
              <w:t>−0</w:t>
            </w:r>
          </w:p>
        </w:tc>
        <w:tc>
          <w:tcPr>
            <w:tcW w:type="dxa" w:w="785"/>
          </w:tcPr>
          <w:p>
            <w:r>
              <w:rPr>
                <w:sz w:val="17"/>
              </w:rPr>
            </w:r>
            <w:r>
              <w:rPr>
                <w:sz w:val="17"/>
              </w:rPr>
              <w:t>−0</w:t>
            </w:r>
          </w:p>
        </w:tc>
        <w:tc>
          <w:tcPr>
            <w:tcW w:type="dxa" w:w="785"/>
          </w:tcPr>
          <w:p>
            <w:r>
              <w:rPr>
                <w:sz w:val="17"/>
              </w:rPr>
            </w:r>
            <w:r>
              <w:rPr>
                <w:sz w:val="17"/>
              </w:rPr>
              <w:t>−585</w:t>
            </w:r>
          </w:p>
        </w:tc>
        <w:tc>
          <w:tcPr>
            <w:tcW w:type="dxa" w:w="785"/>
          </w:tcPr>
          <w:p>
            <w:r>
              <w:rPr>
                <w:sz w:val="17"/>
              </w:rPr>
            </w:r>
            <w:r>
              <w:rPr>
                <w:sz w:val="17"/>
              </w:rPr>
              <w:t>−2 943</w:t>
            </w:r>
          </w:p>
        </w:tc>
        <w:tc>
          <w:tcPr>
            <w:tcW w:type="dxa" w:w="785"/>
          </w:tcPr>
          <w:p>
            <w:r>
              <w:rPr>
                <w:sz w:val="17"/>
              </w:rPr>
            </w:r>
            <w:r>
              <w:rPr>
                <w:sz w:val="17"/>
              </w:rPr>
              <w:t>−6 925</w:t>
            </w:r>
          </w:p>
        </w:tc>
        <w:tc>
          <w:tcPr>
            <w:tcW w:type="dxa" w:w="785"/>
          </w:tcPr>
          <w:p>
            <w:r>
              <w:rPr>
                <w:sz w:val="17"/>
              </w:rPr>
            </w:r>
            <w:r>
              <w:rPr>
                <w:sz w:val="17"/>
              </w:rPr>
              <w:t>−10 232</w:t>
            </w:r>
          </w:p>
        </w:tc>
        <w:tc>
          <w:tcPr>
            <w:tcW w:type="dxa" w:w="785"/>
          </w:tcPr>
          <w:p>
            <w:r>
              <w:rPr>
                <w:sz w:val="17"/>
              </w:rPr>
            </w:r>
            <w:r>
              <w:rPr>
                <w:sz w:val="17"/>
              </w:rPr>
              <w:t>−13 947</w:t>
            </w:r>
          </w:p>
        </w:tc>
        <w:tc>
          <w:tcPr>
            <w:tcW w:type="dxa" w:w="785"/>
          </w:tcPr>
          <w:p>
            <w:r>
              <w:rPr>
                <w:sz w:val="17"/>
              </w:rPr>
            </w:r>
            <w:r>
              <w:rPr>
                <w:sz w:val="17"/>
              </w:rPr>
              <w:t>−18 014</w:t>
            </w:r>
          </w:p>
        </w:tc>
        <w:tc>
          <w:tcPr>
            <w:tcW w:type="dxa" w:w="785"/>
          </w:tcPr>
          <w:p>
            <w:r>
              <w:rPr>
                <w:sz w:val="17"/>
              </w:rPr>
            </w:r>
            <w:r>
              <w:rPr>
                <w:sz w:val="17"/>
              </w:rPr>
              <w:t>−22 250</w:t>
            </w:r>
          </w:p>
        </w:tc>
        <w:tc>
          <w:tcPr>
            <w:tcW w:type="dxa" w:w="785"/>
          </w:tcPr>
          <w:p>
            <w:r>
              <w:rPr>
                <w:sz w:val="17"/>
              </w:rPr>
            </w:r>
            <w:r>
              <w:rPr>
                <w:sz w:val="17"/>
              </w:rPr>
              <w:t>−26 333</w:t>
            </w:r>
          </w:p>
        </w:tc>
      </w:tr>
      <w:tr>
        <w:tc>
          <w:tcPr>
            <w:tcW w:type="dxa" w:w="785"/>
          </w:tcPr>
          <w:p>
            <w:r>
              <w:rPr>
                <w:sz w:val="17"/>
              </w:rPr>
            </w:r>
            <w:r>
              <w:rPr>
                <w:b/>
                <w:sz w:val="17"/>
              </w:rPr>
              <w:t>Résultat net</w:t>
            </w:r>
          </w:p>
        </w:tc>
        <w:tc>
          <w:tcPr>
            <w:tcW w:type="dxa" w:w="785"/>
          </w:tcPr>
          <w:p>
            <w:r>
              <w:rPr>
                <w:sz w:val="17"/>
              </w:rPr>
            </w:r>
            <w:r>
              <w:rPr>
                <w:sz w:val="17"/>
              </w:rPr>
              <w:t>−763</w:t>
            </w:r>
          </w:p>
        </w:tc>
        <w:tc>
          <w:tcPr>
            <w:tcW w:type="dxa" w:w="785"/>
          </w:tcPr>
          <w:p>
            <w:r>
              <w:rPr>
                <w:sz w:val="17"/>
              </w:rPr>
            </w:r>
            <w:r>
              <w:rPr>
                <w:sz w:val="17"/>
              </w:rPr>
              <w:t>−298</w:t>
            </w:r>
          </w:p>
        </w:tc>
        <w:tc>
          <w:tcPr>
            <w:tcW w:type="dxa" w:w="785"/>
          </w:tcPr>
          <w:p>
            <w:r>
              <w:rPr>
                <w:sz w:val="17"/>
              </w:rPr>
            </w:r>
            <w:r>
              <w:rPr>
                <w:sz w:val="17"/>
              </w:rPr>
              <w:t>2 815</w:t>
            </w:r>
          </w:p>
        </w:tc>
        <w:tc>
          <w:tcPr>
            <w:tcW w:type="dxa" w:w="785"/>
          </w:tcPr>
          <w:p>
            <w:r>
              <w:rPr>
                <w:sz w:val="17"/>
              </w:rPr>
            </w:r>
            <w:r>
              <w:rPr>
                <w:sz w:val="17"/>
              </w:rPr>
              <w:t>8 830</w:t>
            </w:r>
          </w:p>
        </w:tc>
        <w:tc>
          <w:tcPr>
            <w:tcW w:type="dxa" w:w="785"/>
          </w:tcPr>
          <w:p>
            <w:r>
              <w:rPr>
                <w:sz w:val="17"/>
              </w:rPr>
            </w:r>
            <w:r>
              <w:rPr>
                <w:sz w:val="17"/>
              </w:rPr>
              <w:t>20 774</w:t>
            </w:r>
          </w:p>
        </w:tc>
        <w:tc>
          <w:tcPr>
            <w:tcW w:type="dxa" w:w="785"/>
          </w:tcPr>
          <w:p>
            <w:r>
              <w:rPr>
                <w:sz w:val="17"/>
              </w:rPr>
            </w:r>
            <w:r>
              <w:rPr>
                <w:sz w:val="17"/>
              </w:rPr>
              <w:t>30 696</w:t>
            </w:r>
          </w:p>
        </w:tc>
        <w:tc>
          <w:tcPr>
            <w:tcW w:type="dxa" w:w="785"/>
          </w:tcPr>
          <w:p>
            <w:r>
              <w:rPr>
                <w:sz w:val="17"/>
              </w:rPr>
            </w:r>
            <w:r>
              <w:rPr>
                <w:sz w:val="17"/>
              </w:rPr>
              <w:t>41 841</w:t>
            </w:r>
          </w:p>
        </w:tc>
        <w:tc>
          <w:tcPr>
            <w:tcW w:type="dxa" w:w="785"/>
          </w:tcPr>
          <w:p>
            <w:r>
              <w:rPr>
                <w:sz w:val="17"/>
              </w:rPr>
            </w:r>
            <w:r>
              <w:rPr>
                <w:sz w:val="17"/>
              </w:rPr>
              <w:t>54 043</w:t>
            </w:r>
          </w:p>
        </w:tc>
        <w:tc>
          <w:tcPr>
            <w:tcW w:type="dxa" w:w="785"/>
          </w:tcPr>
          <w:p>
            <w:r>
              <w:rPr>
                <w:sz w:val="17"/>
              </w:rPr>
            </w:r>
            <w:r>
              <w:rPr>
                <w:sz w:val="17"/>
              </w:rPr>
              <w:t>66 749</w:t>
            </w:r>
          </w:p>
        </w:tc>
        <w:tc>
          <w:tcPr>
            <w:tcW w:type="dxa" w:w="785"/>
          </w:tcPr>
          <w:p>
            <w:r>
              <w:rPr>
                <w:sz w:val="17"/>
              </w:rPr>
            </w:r>
            <w:r>
              <w:rPr>
                <w:sz w:val="17"/>
              </w:rPr>
              <w:t>79 000</w:t>
            </w:r>
          </w:p>
        </w:tc>
      </w:tr>
    </w:tbl>
    <w:p/>
    <w:p>
      <w:pPr>
        <w:jc w:val="both"/>
      </w:pPr>
      <w:r>
        <w:t>Marge de l’année de maturité — 75,1 %. Références de sociétés comparables : opérateurs d’infrastructure boursière et dépositaire 65–75 %, systèmes de paiement internationaux 60–70 %.</w:t>
      </w:r>
    </w:p>
    <w:p>
      <w:pPr>
        <w:pStyle w:val="Heading2"/>
      </w:pPr>
      <w:r>
        <w:t>Feuille 4. Flux de trésorerie</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Paramètre</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EBITDA</w:t>
            </w:r>
          </w:p>
        </w:tc>
        <w:tc>
          <w:tcPr>
            <w:tcW w:type="dxa" w:w="785"/>
          </w:tcPr>
          <w:p>
            <w:r>
              <w:rPr>
                <w:sz w:val="17"/>
              </w:rPr>
            </w:r>
            <w:r>
              <w:rPr>
                <w:sz w:val="17"/>
              </w:rPr>
              <w:t>−720</w:t>
            </w:r>
          </w:p>
        </w:tc>
        <w:tc>
          <w:tcPr>
            <w:tcW w:type="dxa" w:w="785"/>
          </w:tcPr>
          <w:p>
            <w:r>
              <w:rPr>
                <w:sz w:val="17"/>
              </w:rPr>
            </w:r>
            <w:r>
              <w:rPr>
                <w:sz w:val="17"/>
              </w:rPr>
              <w:t>−195</w:t>
            </w:r>
          </w:p>
        </w:tc>
        <w:tc>
          <w:tcPr>
            <w:tcW w:type="dxa" w:w="785"/>
          </w:tcPr>
          <w:p>
            <w:r>
              <w:rPr>
                <w:sz w:val="17"/>
              </w:rPr>
            </w:r>
            <w:r>
              <w:rPr>
                <w:sz w:val="17"/>
              </w:rPr>
              <w:t>3 560</w:t>
            </w:r>
          </w:p>
        </w:tc>
        <w:tc>
          <w:tcPr>
            <w:tcW w:type="dxa" w:w="785"/>
          </w:tcPr>
          <w:p>
            <w:r>
              <w:rPr>
                <w:sz w:val="17"/>
              </w:rPr>
            </w:r>
            <w:r>
              <w:rPr>
                <w:sz w:val="17"/>
              </w:rPr>
              <w:t>12 012</w:t>
            </w:r>
          </w:p>
        </w:tc>
        <w:tc>
          <w:tcPr>
            <w:tcW w:type="dxa" w:w="785"/>
          </w:tcPr>
          <w:p>
            <w:r>
              <w:rPr>
                <w:sz w:val="17"/>
              </w:rPr>
            </w:r>
            <w:r>
              <w:rPr>
                <w:sz w:val="17"/>
              </w:rPr>
              <w:t>28 195</w:t>
            </w:r>
          </w:p>
        </w:tc>
        <w:tc>
          <w:tcPr>
            <w:tcW w:type="dxa" w:w="785"/>
          </w:tcPr>
          <w:p>
            <w:r>
              <w:rPr>
                <w:sz w:val="17"/>
              </w:rPr>
            </w:r>
            <w:r>
              <w:rPr>
                <w:sz w:val="17"/>
              </w:rPr>
              <w:t>41 766</w:t>
            </w:r>
          </w:p>
        </w:tc>
        <w:tc>
          <w:tcPr>
            <w:tcW w:type="dxa" w:w="785"/>
          </w:tcPr>
          <w:p>
            <w:r>
              <w:rPr>
                <w:sz w:val="17"/>
              </w:rPr>
            </w:r>
            <w:r>
              <w:rPr>
                <w:sz w:val="17"/>
              </w:rPr>
              <w:t>56 856</w:t>
            </w:r>
          </w:p>
        </w:tc>
        <w:tc>
          <w:tcPr>
            <w:tcW w:type="dxa" w:w="785"/>
          </w:tcPr>
          <w:p>
            <w:r>
              <w:rPr>
                <w:sz w:val="17"/>
              </w:rPr>
            </w:r>
            <w:r>
              <w:rPr>
                <w:sz w:val="17"/>
              </w:rPr>
              <w:t>73 339</w:t>
            </w:r>
          </w:p>
        </w:tc>
        <w:tc>
          <w:tcPr>
            <w:tcW w:type="dxa" w:w="785"/>
          </w:tcPr>
          <w:p>
            <w:r>
              <w:rPr>
                <w:sz w:val="17"/>
              </w:rPr>
            </w:r>
            <w:r>
              <w:rPr>
                <w:sz w:val="17"/>
              </w:rPr>
              <w:t>90 549</w:t>
            </w:r>
          </w:p>
        </w:tc>
        <w:tc>
          <w:tcPr>
            <w:tcW w:type="dxa" w:w="785"/>
          </w:tcPr>
          <w:p>
            <w:r>
              <w:rPr>
                <w:sz w:val="17"/>
              </w:rPr>
            </w:r>
            <w:r>
              <w:rPr>
                <w:sz w:val="17"/>
              </w:rPr>
              <w:t>107 112</w:t>
            </w:r>
          </w:p>
        </w:tc>
      </w:tr>
      <w:tr>
        <w:tc>
          <w:tcPr>
            <w:tcW w:type="dxa" w:w="785"/>
          </w:tcPr>
          <w:p>
            <w:r>
              <w:rPr>
                <w:sz w:val="17"/>
              </w:rPr>
            </w:r>
            <w:r>
              <w:rPr>
                <w:sz w:val="17"/>
              </w:rPr>
              <w:t>Impôt sur les bénéfices</w:t>
            </w:r>
          </w:p>
        </w:tc>
        <w:tc>
          <w:tcPr>
            <w:tcW w:type="dxa" w:w="785"/>
          </w:tcPr>
          <w:p>
            <w:r>
              <w:rPr>
                <w:sz w:val="17"/>
              </w:rPr>
            </w:r>
            <w:r>
              <w:rPr>
                <w:sz w:val="17"/>
              </w:rPr>
              <w:t>−0</w:t>
            </w:r>
          </w:p>
        </w:tc>
        <w:tc>
          <w:tcPr>
            <w:tcW w:type="dxa" w:w="785"/>
          </w:tcPr>
          <w:p>
            <w:r>
              <w:rPr>
                <w:sz w:val="17"/>
              </w:rPr>
            </w:r>
            <w:r>
              <w:rPr>
                <w:sz w:val="17"/>
              </w:rPr>
              <w:t>−0</w:t>
            </w:r>
          </w:p>
        </w:tc>
        <w:tc>
          <w:tcPr>
            <w:tcW w:type="dxa" w:w="785"/>
          </w:tcPr>
          <w:p>
            <w:r>
              <w:rPr>
                <w:sz w:val="17"/>
              </w:rPr>
            </w:r>
            <w:r>
              <w:rPr>
                <w:sz w:val="17"/>
              </w:rPr>
              <w:t>−585</w:t>
            </w:r>
          </w:p>
        </w:tc>
        <w:tc>
          <w:tcPr>
            <w:tcW w:type="dxa" w:w="785"/>
          </w:tcPr>
          <w:p>
            <w:r>
              <w:rPr>
                <w:sz w:val="17"/>
              </w:rPr>
            </w:r>
            <w:r>
              <w:rPr>
                <w:sz w:val="17"/>
              </w:rPr>
              <w:t>−2 943</w:t>
            </w:r>
          </w:p>
        </w:tc>
        <w:tc>
          <w:tcPr>
            <w:tcW w:type="dxa" w:w="785"/>
          </w:tcPr>
          <w:p>
            <w:r>
              <w:rPr>
                <w:sz w:val="17"/>
              </w:rPr>
            </w:r>
            <w:r>
              <w:rPr>
                <w:sz w:val="17"/>
              </w:rPr>
              <w:t>−6 925</w:t>
            </w:r>
          </w:p>
        </w:tc>
        <w:tc>
          <w:tcPr>
            <w:tcW w:type="dxa" w:w="785"/>
          </w:tcPr>
          <w:p>
            <w:r>
              <w:rPr>
                <w:sz w:val="17"/>
              </w:rPr>
            </w:r>
            <w:r>
              <w:rPr>
                <w:sz w:val="17"/>
              </w:rPr>
              <w:t>−10 232</w:t>
            </w:r>
          </w:p>
        </w:tc>
        <w:tc>
          <w:tcPr>
            <w:tcW w:type="dxa" w:w="785"/>
          </w:tcPr>
          <w:p>
            <w:r>
              <w:rPr>
                <w:sz w:val="17"/>
              </w:rPr>
            </w:r>
            <w:r>
              <w:rPr>
                <w:sz w:val="17"/>
              </w:rPr>
              <w:t>−13 947</w:t>
            </w:r>
          </w:p>
        </w:tc>
        <w:tc>
          <w:tcPr>
            <w:tcW w:type="dxa" w:w="785"/>
          </w:tcPr>
          <w:p>
            <w:r>
              <w:rPr>
                <w:sz w:val="17"/>
              </w:rPr>
            </w:r>
            <w:r>
              <w:rPr>
                <w:sz w:val="17"/>
              </w:rPr>
              <w:t>−18 014</w:t>
            </w:r>
          </w:p>
        </w:tc>
        <w:tc>
          <w:tcPr>
            <w:tcW w:type="dxa" w:w="785"/>
          </w:tcPr>
          <w:p>
            <w:r>
              <w:rPr>
                <w:sz w:val="17"/>
              </w:rPr>
            </w:r>
            <w:r>
              <w:rPr>
                <w:sz w:val="17"/>
              </w:rPr>
              <w:t>−22 250</w:t>
            </w:r>
          </w:p>
        </w:tc>
        <w:tc>
          <w:tcPr>
            <w:tcW w:type="dxa" w:w="785"/>
          </w:tcPr>
          <w:p>
            <w:r>
              <w:rPr>
                <w:sz w:val="17"/>
              </w:rPr>
            </w:r>
            <w:r>
              <w:rPr>
                <w:sz w:val="17"/>
              </w:rPr>
              <w:t>−26 333</w:t>
            </w:r>
          </w:p>
        </w:tc>
      </w:tr>
      <w:tr>
        <w:tc>
          <w:tcPr>
            <w:tcW w:type="dxa" w:w="785"/>
          </w:tcPr>
          <w:p>
            <w:r>
              <w:rPr>
                <w:sz w:val="17"/>
              </w:rPr>
            </w:r>
            <w:r>
              <w:rPr>
                <w:sz w:val="17"/>
              </w:rPr>
              <w:t>Variation du besoin en fonds de roulement</w:t>
            </w:r>
          </w:p>
        </w:tc>
        <w:tc>
          <w:tcPr>
            <w:tcW w:type="dxa" w:w="785"/>
          </w:tcPr>
          <w:p>
            <w:r>
              <w:rPr>
                <w:sz w:val="17"/>
              </w:rPr>
            </w:r>
            <w:r>
              <w:rPr>
                <w:sz w:val="17"/>
              </w:rPr>
              <w:t>−0</w:t>
            </w:r>
          </w:p>
        </w:tc>
        <w:tc>
          <w:tcPr>
            <w:tcW w:type="dxa" w:w="785"/>
          </w:tcPr>
          <w:p>
            <w:r>
              <w:rPr>
                <w:sz w:val="17"/>
              </w:rPr>
            </w:r>
            <w:r>
              <w:rPr>
                <w:sz w:val="17"/>
              </w:rPr>
              <w:t>−65</w:t>
            </w:r>
          </w:p>
        </w:tc>
        <w:tc>
          <w:tcPr>
            <w:tcW w:type="dxa" w:w="785"/>
          </w:tcPr>
          <w:p>
            <w:r>
              <w:rPr>
                <w:sz w:val="17"/>
              </w:rPr>
            </w:r>
            <w:r>
              <w:rPr>
                <w:sz w:val="17"/>
              </w:rPr>
              <w:t>−260</w:t>
            </w:r>
          </w:p>
        </w:tc>
        <w:tc>
          <w:tcPr>
            <w:tcW w:type="dxa" w:w="785"/>
          </w:tcPr>
          <w:p>
            <w:r>
              <w:rPr>
                <w:sz w:val="17"/>
              </w:rPr>
            </w:r>
            <w:r>
              <w:rPr>
                <w:sz w:val="17"/>
              </w:rPr>
              <w:t>−564</w:t>
            </w:r>
          </w:p>
        </w:tc>
        <w:tc>
          <w:tcPr>
            <w:tcW w:type="dxa" w:w="785"/>
          </w:tcPr>
          <w:p>
            <w:r>
              <w:rPr>
                <w:sz w:val="17"/>
              </w:rPr>
            </w:r>
            <w:r>
              <w:rPr>
                <w:sz w:val="17"/>
              </w:rPr>
              <w:t>−1 061</w:t>
            </w:r>
          </w:p>
        </w:tc>
        <w:tc>
          <w:tcPr>
            <w:tcW w:type="dxa" w:w="785"/>
          </w:tcPr>
          <w:p>
            <w:r>
              <w:rPr>
                <w:sz w:val="17"/>
              </w:rPr>
            </w:r>
            <w:r>
              <w:rPr>
                <w:sz w:val="17"/>
              </w:rPr>
              <w:t>−892</w:t>
            </w:r>
          </w:p>
        </w:tc>
        <w:tc>
          <w:tcPr>
            <w:tcW w:type="dxa" w:w="785"/>
          </w:tcPr>
          <w:p>
            <w:r>
              <w:rPr>
                <w:sz w:val="17"/>
              </w:rPr>
            </w:r>
            <w:r>
              <w:rPr>
                <w:sz w:val="17"/>
              </w:rPr>
              <w:t>−991</w:t>
            </w:r>
          </w:p>
        </w:tc>
        <w:tc>
          <w:tcPr>
            <w:tcW w:type="dxa" w:w="785"/>
          </w:tcPr>
          <w:p>
            <w:r>
              <w:rPr>
                <w:sz w:val="17"/>
              </w:rPr>
            </w:r>
            <w:r>
              <w:rPr>
                <w:sz w:val="17"/>
              </w:rPr>
              <w:t>−1 083</w:t>
            </w:r>
          </w:p>
        </w:tc>
        <w:tc>
          <w:tcPr>
            <w:tcW w:type="dxa" w:w="785"/>
          </w:tcPr>
          <w:p>
            <w:r>
              <w:rPr>
                <w:sz w:val="17"/>
              </w:rPr>
            </w:r>
            <w:r>
              <w:rPr>
                <w:sz w:val="17"/>
              </w:rPr>
              <w:t>−1 126</w:t>
            </w:r>
          </w:p>
        </w:tc>
        <w:tc>
          <w:tcPr>
            <w:tcW w:type="dxa" w:w="785"/>
          </w:tcPr>
          <w:p>
            <w:r>
              <w:rPr>
                <w:sz w:val="17"/>
              </w:rPr>
            </w:r>
            <w:r>
              <w:rPr>
                <w:sz w:val="17"/>
              </w:rPr>
              <w:t>−1 087</w:t>
            </w:r>
          </w:p>
        </w:tc>
      </w:tr>
      <w:tr>
        <w:tc>
          <w:tcPr>
            <w:tcW w:type="dxa" w:w="785"/>
          </w:tcPr>
          <w:p>
            <w:r>
              <w:rPr>
                <w:sz w:val="17"/>
              </w:rPr>
            </w:r>
            <w:r>
              <w:rPr>
                <w:sz w:val="17"/>
              </w:rPr>
              <w:t>Investissements</w:t>
            </w:r>
          </w:p>
        </w:tc>
        <w:tc>
          <w:tcPr>
            <w:tcW w:type="dxa" w:w="785"/>
          </w:tcPr>
          <w:p>
            <w:r>
              <w:rPr>
                <w:sz w:val="17"/>
              </w:rPr>
            </w:r>
            <w:r>
              <w:rPr>
                <w:sz w:val="17"/>
              </w:rPr>
              <w:t>−300</w:t>
            </w:r>
          </w:p>
        </w:tc>
        <w:tc>
          <w:tcPr>
            <w:tcW w:type="dxa" w:w="785"/>
          </w:tcPr>
          <w:p>
            <w:r>
              <w:rPr>
                <w:sz w:val="17"/>
              </w:rPr>
            </w:r>
            <w:r>
              <w:rPr>
                <w:sz w:val="17"/>
              </w:rPr>
              <w:t>−420</w:t>
            </w:r>
          </w:p>
        </w:tc>
        <w:tc>
          <w:tcPr>
            <w:tcW w:type="dxa" w:w="785"/>
          </w:tcPr>
          <w:p>
            <w:r>
              <w:rPr>
                <w:sz w:val="17"/>
              </w:rPr>
            </w:r>
            <w:r>
              <w:rPr>
                <w:sz w:val="17"/>
              </w:rPr>
              <w:t>−400</w:t>
            </w:r>
          </w:p>
        </w:tc>
        <w:tc>
          <w:tcPr>
            <w:tcW w:type="dxa" w:w="785"/>
          </w:tcPr>
          <w:p>
            <w:r>
              <w:rPr>
                <w:sz w:val="17"/>
              </w:rPr>
            </w:r>
            <w:r>
              <w:rPr>
                <w:sz w:val="17"/>
              </w:rPr>
              <w:t>−550</w:t>
            </w:r>
          </w:p>
        </w:tc>
        <w:tc>
          <w:tcPr>
            <w:tcW w:type="dxa" w:w="785"/>
          </w:tcPr>
          <w:p>
            <w:r>
              <w:rPr>
                <w:sz w:val="17"/>
              </w:rPr>
            </w:r>
            <w:r>
              <w:rPr>
                <w:sz w:val="17"/>
              </w:rPr>
              <w:t>−1 800</w:t>
            </w:r>
          </w:p>
        </w:tc>
        <w:tc>
          <w:tcPr>
            <w:tcW w:type="dxa" w:w="785"/>
          </w:tcPr>
          <w:p>
            <w:r>
              <w:rPr>
                <w:sz w:val="17"/>
              </w:rPr>
            </w:r>
            <w:r>
              <w:rPr>
                <w:sz w:val="17"/>
              </w:rPr>
              <w:t>−2 400</w:t>
            </w:r>
          </w:p>
        </w:tc>
        <w:tc>
          <w:tcPr>
            <w:tcW w:type="dxa" w:w="785"/>
          </w:tcPr>
          <w:p>
            <w:r>
              <w:rPr>
                <w:sz w:val="17"/>
              </w:rPr>
            </w:r>
            <w:r>
              <w:rPr>
                <w:sz w:val="17"/>
              </w:rPr>
              <w:t>−1 600</w:t>
            </w:r>
          </w:p>
        </w:tc>
        <w:tc>
          <w:tcPr>
            <w:tcW w:type="dxa" w:w="785"/>
          </w:tcPr>
          <w:p>
            <w:r>
              <w:rPr>
                <w:sz w:val="17"/>
              </w:rPr>
            </w:r>
            <w:r>
              <w:rPr>
                <w:sz w:val="17"/>
              </w:rPr>
              <w:t>−1 800</w:t>
            </w:r>
          </w:p>
        </w:tc>
        <w:tc>
          <w:tcPr>
            <w:tcW w:type="dxa" w:w="785"/>
          </w:tcPr>
          <w:p>
            <w:r>
              <w:rPr>
                <w:sz w:val="17"/>
              </w:rPr>
            </w:r>
            <w:r>
              <w:rPr>
                <w:sz w:val="17"/>
              </w:rPr>
              <w:t>−2 300</w:t>
            </w:r>
          </w:p>
        </w:tc>
        <w:tc>
          <w:tcPr>
            <w:tcW w:type="dxa" w:w="785"/>
          </w:tcPr>
          <w:p>
            <w:r>
              <w:rPr>
                <w:sz w:val="17"/>
              </w:rPr>
            </w:r>
            <w:r>
              <w:rPr>
                <w:sz w:val="17"/>
              </w:rPr>
              <w:t>−2 000</w:t>
            </w:r>
          </w:p>
        </w:tc>
      </w:tr>
      <w:tr>
        <w:tc>
          <w:tcPr>
            <w:tcW w:type="dxa" w:w="785"/>
          </w:tcPr>
          <w:p>
            <w:r>
              <w:rPr>
                <w:sz w:val="17"/>
              </w:rPr>
            </w:r>
            <w:r>
              <w:rPr>
                <w:b/>
                <w:sz w:val="17"/>
              </w:rPr>
              <w:t>Flux de trésorerie disponible</w:t>
            </w:r>
          </w:p>
        </w:tc>
        <w:tc>
          <w:tcPr>
            <w:tcW w:type="dxa" w:w="785"/>
          </w:tcPr>
          <w:p>
            <w:r>
              <w:rPr>
                <w:sz w:val="17"/>
              </w:rPr>
            </w:r>
            <w:r>
              <w:rPr>
                <w:sz w:val="17"/>
              </w:rPr>
              <w:t>−1 020</w:t>
            </w:r>
          </w:p>
        </w:tc>
        <w:tc>
          <w:tcPr>
            <w:tcW w:type="dxa" w:w="785"/>
          </w:tcPr>
          <w:p>
            <w:r>
              <w:rPr>
                <w:sz w:val="17"/>
              </w:rPr>
            </w:r>
            <w:r>
              <w:rPr>
                <w:sz w:val="17"/>
              </w:rPr>
              <w:t>−680</w:t>
            </w:r>
          </w:p>
        </w:tc>
        <w:tc>
          <w:tcPr>
            <w:tcW w:type="dxa" w:w="785"/>
          </w:tcPr>
          <w:p>
            <w:r>
              <w:rPr>
                <w:sz w:val="17"/>
              </w:rPr>
            </w:r>
            <w:r>
              <w:rPr>
                <w:sz w:val="17"/>
              </w:rPr>
              <w:t>2 315</w:t>
            </w:r>
          </w:p>
        </w:tc>
        <w:tc>
          <w:tcPr>
            <w:tcW w:type="dxa" w:w="785"/>
          </w:tcPr>
          <w:p>
            <w:r>
              <w:rPr>
                <w:sz w:val="17"/>
              </w:rPr>
            </w:r>
            <w:r>
              <w:rPr>
                <w:sz w:val="17"/>
              </w:rPr>
              <w:t>7 955</w:t>
            </w:r>
          </w:p>
        </w:tc>
        <w:tc>
          <w:tcPr>
            <w:tcW w:type="dxa" w:w="785"/>
          </w:tcPr>
          <w:p>
            <w:r>
              <w:rPr>
                <w:sz w:val="17"/>
              </w:rPr>
            </w:r>
            <w:r>
              <w:rPr>
                <w:sz w:val="17"/>
              </w:rPr>
              <w:t>18 409</w:t>
            </w:r>
          </w:p>
        </w:tc>
        <w:tc>
          <w:tcPr>
            <w:tcW w:type="dxa" w:w="785"/>
          </w:tcPr>
          <w:p>
            <w:r>
              <w:rPr>
                <w:sz w:val="17"/>
              </w:rPr>
            </w:r>
            <w:r>
              <w:rPr>
                <w:sz w:val="17"/>
              </w:rPr>
              <w:t>28 242</w:t>
            </w:r>
          </w:p>
        </w:tc>
        <w:tc>
          <w:tcPr>
            <w:tcW w:type="dxa" w:w="785"/>
          </w:tcPr>
          <w:p>
            <w:r>
              <w:rPr>
                <w:sz w:val="17"/>
              </w:rPr>
            </w:r>
            <w:r>
              <w:rPr>
                <w:sz w:val="17"/>
              </w:rPr>
              <w:t>40 317</w:t>
            </w:r>
          </w:p>
        </w:tc>
        <w:tc>
          <w:tcPr>
            <w:tcW w:type="dxa" w:w="785"/>
          </w:tcPr>
          <w:p>
            <w:r>
              <w:rPr>
                <w:sz w:val="17"/>
              </w:rPr>
            </w:r>
            <w:r>
              <w:rPr>
                <w:sz w:val="17"/>
              </w:rPr>
              <w:t>52 442</w:t>
            </w:r>
          </w:p>
        </w:tc>
        <w:tc>
          <w:tcPr>
            <w:tcW w:type="dxa" w:w="785"/>
          </w:tcPr>
          <w:p>
            <w:r>
              <w:rPr>
                <w:sz w:val="17"/>
              </w:rPr>
            </w:r>
            <w:r>
              <w:rPr>
                <w:sz w:val="17"/>
              </w:rPr>
              <w:t>64 873</w:t>
            </w:r>
          </w:p>
        </w:tc>
        <w:tc>
          <w:tcPr>
            <w:tcW w:type="dxa" w:w="785"/>
          </w:tcPr>
          <w:p>
            <w:r>
              <w:rPr>
                <w:sz w:val="17"/>
              </w:rPr>
            </w:r>
            <w:r>
              <w:rPr>
                <w:sz w:val="17"/>
              </w:rPr>
              <w:t>77 692</w:t>
            </w:r>
          </w:p>
        </w:tc>
      </w:tr>
      <w:tr>
        <w:tc>
          <w:tcPr>
            <w:tcW w:type="dxa" w:w="785"/>
          </w:tcPr>
          <w:p>
            <w:r>
              <w:rPr>
                <w:sz w:val="17"/>
              </w:rPr>
            </w:r>
            <w:r>
              <w:rPr>
                <w:sz w:val="17"/>
              </w:rPr>
              <w:t>Flux cumulé</w:t>
            </w:r>
          </w:p>
        </w:tc>
        <w:tc>
          <w:tcPr>
            <w:tcW w:type="dxa" w:w="785"/>
          </w:tcPr>
          <w:p>
            <w:r>
              <w:rPr>
                <w:sz w:val="17"/>
              </w:rPr>
            </w:r>
            <w:r>
              <w:rPr>
                <w:sz w:val="17"/>
              </w:rPr>
              <w:t>−1 020</w:t>
            </w:r>
          </w:p>
        </w:tc>
        <w:tc>
          <w:tcPr>
            <w:tcW w:type="dxa" w:w="785"/>
          </w:tcPr>
          <w:p>
            <w:r>
              <w:rPr>
                <w:sz w:val="17"/>
              </w:rPr>
            </w:r>
            <w:r>
              <w:rPr>
                <w:sz w:val="17"/>
              </w:rPr>
              <w:t>−1 701</w:t>
            </w:r>
          </w:p>
        </w:tc>
        <w:tc>
          <w:tcPr>
            <w:tcW w:type="dxa" w:w="785"/>
          </w:tcPr>
          <w:p>
            <w:r>
              <w:rPr>
                <w:sz w:val="17"/>
              </w:rPr>
            </w:r>
            <w:r>
              <w:rPr>
                <w:sz w:val="17"/>
              </w:rPr>
              <w:t>614</w:t>
            </w:r>
          </w:p>
        </w:tc>
        <w:tc>
          <w:tcPr>
            <w:tcW w:type="dxa" w:w="785"/>
          </w:tcPr>
          <w:p>
            <w:r>
              <w:rPr>
                <w:sz w:val="17"/>
              </w:rPr>
            </w:r>
            <w:r>
              <w:rPr>
                <w:sz w:val="17"/>
              </w:rPr>
              <w:t>8 569</w:t>
            </w:r>
          </w:p>
        </w:tc>
        <w:tc>
          <w:tcPr>
            <w:tcW w:type="dxa" w:w="785"/>
          </w:tcPr>
          <w:p>
            <w:r>
              <w:rPr>
                <w:sz w:val="17"/>
              </w:rPr>
            </w:r>
            <w:r>
              <w:rPr>
                <w:sz w:val="17"/>
              </w:rPr>
              <w:t>26 978</w:t>
            </w:r>
          </w:p>
        </w:tc>
        <w:tc>
          <w:tcPr>
            <w:tcW w:type="dxa" w:w="785"/>
          </w:tcPr>
          <w:p>
            <w:r>
              <w:rPr>
                <w:sz w:val="17"/>
              </w:rPr>
            </w:r>
            <w:r>
              <w:rPr>
                <w:sz w:val="17"/>
              </w:rPr>
              <w:t>55 220</w:t>
            </w:r>
          </w:p>
        </w:tc>
        <w:tc>
          <w:tcPr>
            <w:tcW w:type="dxa" w:w="785"/>
          </w:tcPr>
          <w:p>
            <w:r>
              <w:rPr>
                <w:sz w:val="17"/>
              </w:rPr>
            </w:r>
            <w:r>
              <w:rPr>
                <w:sz w:val="17"/>
              </w:rPr>
              <w:t>95 537</w:t>
            </w:r>
          </w:p>
        </w:tc>
        <w:tc>
          <w:tcPr>
            <w:tcW w:type="dxa" w:w="785"/>
          </w:tcPr>
          <w:p>
            <w:r>
              <w:rPr>
                <w:sz w:val="17"/>
              </w:rPr>
            </w:r>
            <w:r>
              <w:rPr>
                <w:sz w:val="17"/>
              </w:rPr>
              <w:t>147 979</w:t>
            </w:r>
          </w:p>
        </w:tc>
        <w:tc>
          <w:tcPr>
            <w:tcW w:type="dxa" w:w="785"/>
          </w:tcPr>
          <w:p>
            <w:r>
              <w:rPr>
                <w:sz w:val="17"/>
              </w:rPr>
            </w:r>
            <w:r>
              <w:rPr>
                <w:sz w:val="17"/>
              </w:rPr>
              <w:t>212 852</w:t>
            </w:r>
          </w:p>
        </w:tc>
        <w:tc>
          <w:tcPr>
            <w:tcW w:type="dxa" w:w="785"/>
          </w:tcPr>
          <w:p>
            <w:r>
              <w:rPr>
                <w:sz w:val="17"/>
              </w:rPr>
            </w:r>
            <w:r>
              <w:rPr>
                <w:sz w:val="17"/>
              </w:rPr>
              <w:t>290 543</w:t>
            </w:r>
          </w:p>
        </w:tc>
      </w:tr>
      <w:tr>
        <w:tc>
          <w:tcPr>
            <w:tcW w:type="dxa" w:w="785"/>
          </w:tcPr>
          <w:p>
            <w:r>
              <w:rPr>
                <w:sz w:val="17"/>
              </w:rPr>
            </w:r>
            <w:r>
              <w:rPr>
                <w:sz w:val="17"/>
              </w:rPr>
              <w:t>Facteur d’actualisation</w:t>
            </w:r>
          </w:p>
        </w:tc>
        <w:tc>
          <w:tcPr>
            <w:tcW w:type="dxa" w:w="785"/>
          </w:tcPr>
          <w:p>
            <w:r>
              <w:rPr>
                <w:sz w:val="17"/>
              </w:rPr>
            </w:r>
            <w:r>
              <w:rPr>
                <w:sz w:val="17"/>
              </w:rPr>
              <w:t>0,7717</w:t>
            </w:r>
          </w:p>
        </w:tc>
        <w:tc>
          <w:tcPr>
            <w:tcW w:type="dxa" w:w="785"/>
          </w:tcPr>
          <w:p>
            <w:r>
              <w:rPr>
                <w:sz w:val="17"/>
              </w:rPr>
            </w:r>
            <w:r>
              <w:rPr>
                <w:sz w:val="17"/>
              </w:rPr>
              <w:t>0,5956</w:t>
            </w:r>
          </w:p>
        </w:tc>
        <w:tc>
          <w:tcPr>
            <w:tcW w:type="dxa" w:w="785"/>
          </w:tcPr>
          <w:p>
            <w:r>
              <w:rPr>
                <w:sz w:val="17"/>
              </w:rPr>
            </w:r>
            <w:r>
              <w:rPr>
                <w:sz w:val="17"/>
              </w:rPr>
              <w:t>0,4596</w:t>
            </w:r>
          </w:p>
        </w:tc>
        <w:tc>
          <w:tcPr>
            <w:tcW w:type="dxa" w:w="785"/>
          </w:tcPr>
          <w:p>
            <w:r>
              <w:rPr>
                <w:sz w:val="17"/>
              </w:rPr>
            </w:r>
            <w:r>
              <w:rPr>
                <w:sz w:val="17"/>
              </w:rPr>
              <w:t>0,3547</w:t>
            </w:r>
          </w:p>
        </w:tc>
        <w:tc>
          <w:tcPr>
            <w:tcW w:type="dxa" w:w="785"/>
          </w:tcPr>
          <w:p>
            <w:r>
              <w:rPr>
                <w:sz w:val="17"/>
              </w:rPr>
            </w:r>
            <w:r>
              <w:rPr>
                <w:sz w:val="17"/>
              </w:rPr>
              <w:t>0,2737</w:t>
            </w:r>
          </w:p>
        </w:tc>
        <w:tc>
          <w:tcPr>
            <w:tcW w:type="dxa" w:w="785"/>
          </w:tcPr>
          <w:p>
            <w:r>
              <w:rPr>
                <w:sz w:val="17"/>
              </w:rPr>
            </w:r>
            <w:r>
              <w:rPr>
                <w:sz w:val="17"/>
              </w:rPr>
              <w:t>0,2112</w:t>
            </w:r>
          </w:p>
        </w:tc>
        <w:tc>
          <w:tcPr>
            <w:tcW w:type="dxa" w:w="785"/>
          </w:tcPr>
          <w:p>
            <w:r>
              <w:rPr>
                <w:sz w:val="17"/>
              </w:rPr>
            </w:r>
            <w:r>
              <w:rPr>
                <w:sz w:val="17"/>
              </w:rPr>
              <w:t>0,1630</w:t>
            </w:r>
          </w:p>
        </w:tc>
        <w:tc>
          <w:tcPr>
            <w:tcW w:type="dxa" w:w="785"/>
          </w:tcPr>
          <w:p>
            <w:r>
              <w:rPr>
                <w:sz w:val="17"/>
              </w:rPr>
            </w:r>
            <w:r>
              <w:rPr>
                <w:sz w:val="17"/>
              </w:rPr>
              <w:t>0,1258</w:t>
            </w:r>
          </w:p>
        </w:tc>
        <w:tc>
          <w:tcPr>
            <w:tcW w:type="dxa" w:w="785"/>
          </w:tcPr>
          <w:p>
            <w:r>
              <w:rPr>
                <w:sz w:val="17"/>
              </w:rPr>
            </w:r>
            <w:r>
              <w:rPr>
                <w:sz w:val="17"/>
              </w:rPr>
              <w:t>0,0971</w:t>
            </w:r>
          </w:p>
        </w:tc>
        <w:tc>
          <w:tcPr>
            <w:tcW w:type="dxa" w:w="785"/>
          </w:tcPr>
          <w:p>
            <w:r>
              <w:rPr>
                <w:sz w:val="17"/>
              </w:rPr>
            </w:r>
            <w:r>
              <w:rPr>
                <w:sz w:val="17"/>
              </w:rPr>
              <w:t>0,0749</w:t>
            </w:r>
          </w:p>
        </w:tc>
      </w:tr>
      <w:tr>
        <w:tc>
          <w:tcPr>
            <w:tcW w:type="dxa" w:w="785"/>
          </w:tcPr>
          <w:p>
            <w:r>
              <w:rPr>
                <w:sz w:val="17"/>
              </w:rPr>
            </w:r>
            <w:r>
              <w:rPr>
                <w:sz w:val="17"/>
              </w:rPr>
              <w:t>Flux actualisé</w:t>
            </w:r>
          </w:p>
        </w:tc>
        <w:tc>
          <w:tcPr>
            <w:tcW w:type="dxa" w:w="785"/>
          </w:tcPr>
          <w:p>
            <w:r>
              <w:rPr>
                <w:sz w:val="17"/>
              </w:rPr>
            </w:r>
            <w:r>
              <w:rPr>
                <w:sz w:val="17"/>
              </w:rPr>
              <w:t>−787</w:t>
            </w:r>
          </w:p>
        </w:tc>
        <w:tc>
          <w:tcPr>
            <w:tcW w:type="dxa" w:w="785"/>
          </w:tcPr>
          <w:p>
            <w:r>
              <w:rPr>
                <w:sz w:val="17"/>
              </w:rPr>
            </w:r>
            <w:r>
              <w:rPr>
                <w:sz w:val="17"/>
              </w:rPr>
              <w:t>−405</w:t>
            </w:r>
          </w:p>
        </w:tc>
        <w:tc>
          <w:tcPr>
            <w:tcW w:type="dxa" w:w="785"/>
          </w:tcPr>
          <w:p>
            <w:r>
              <w:rPr>
                <w:sz w:val="17"/>
              </w:rPr>
            </w:r>
            <w:r>
              <w:rPr>
                <w:sz w:val="17"/>
              </w:rPr>
              <w:t>1 064</w:t>
            </w:r>
          </w:p>
        </w:tc>
        <w:tc>
          <w:tcPr>
            <w:tcW w:type="dxa" w:w="785"/>
          </w:tcPr>
          <w:p>
            <w:r>
              <w:rPr>
                <w:sz w:val="17"/>
              </w:rPr>
            </w:r>
            <w:r>
              <w:rPr>
                <w:sz w:val="17"/>
              </w:rPr>
              <w:t>2 822</w:t>
            </w:r>
          </w:p>
        </w:tc>
        <w:tc>
          <w:tcPr>
            <w:tcW w:type="dxa" w:w="785"/>
          </w:tcPr>
          <w:p>
            <w:r>
              <w:rPr>
                <w:sz w:val="17"/>
              </w:rPr>
            </w:r>
            <w:r>
              <w:rPr>
                <w:sz w:val="17"/>
              </w:rPr>
              <w:t>5 039</w:t>
            </w:r>
          </w:p>
        </w:tc>
        <w:tc>
          <w:tcPr>
            <w:tcW w:type="dxa" w:w="785"/>
          </w:tcPr>
          <w:p>
            <w:r>
              <w:rPr>
                <w:sz w:val="17"/>
              </w:rPr>
            </w:r>
            <w:r>
              <w:rPr>
                <w:sz w:val="17"/>
              </w:rPr>
              <w:t>5 966</w:t>
            </w:r>
          </w:p>
        </w:tc>
        <w:tc>
          <w:tcPr>
            <w:tcW w:type="dxa" w:w="785"/>
          </w:tcPr>
          <w:p>
            <w:r>
              <w:rPr>
                <w:sz w:val="17"/>
              </w:rPr>
            </w:r>
            <w:r>
              <w:rPr>
                <w:sz w:val="17"/>
              </w:rPr>
              <w:t>6 573</w:t>
            </w:r>
          </w:p>
        </w:tc>
        <w:tc>
          <w:tcPr>
            <w:tcW w:type="dxa" w:w="785"/>
          </w:tcPr>
          <w:p>
            <w:r>
              <w:rPr>
                <w:sz w:val="17"/>
              </w:rPr>
            </w:r>
            <w:r>
              <w:rPr>
                <w:sz w:val="17"/>
              </w:rPr>
              <w:t>6 598</w:t>
            </w:r>
          </w:p>
        </w:tc>
        <w:tc>
          <w:tcPr>
            <w:tcW w:type="dxa" w:w="785"/>
          </w:tcPr>
          <w:p>
            <w:r>
              <w:rPr>
                <w:sz w:val="17"/>
              </w:rPr>
            </w:r>
            <w:r>
              <w:rPr>
                <w:sz w:val="17"/>
              </w:rPr>
              <w:t>6 298</w:t>
            </w:r>
          </w:p>
        </w:tc>
        <w:tc>
          <w:tcPr>
            <w:tcW w:type="dxa" w:w="785"/>
          </w:tcPr>
          <w:p>
            <w:r>
              <w:rPr>
                <w:sz w:val="17"/>
              </w:rPr>
            </w:r>
            <w:r>
              <w:rPr>
                <w:sz w:val="17"/>
              </w:rPr>
              <w:t>5 821</w:t>
            </w:r>
          </w:p>
        </w:tc>
      </w:tr>
    </w:tbl>
    <w:p/>
    <w:p>
      <w:pPr>
        <w:jc w:val="both"/>
      </w:pPr>
      <w:r>
        <w:rPr>
          <w:b/>
        </w:rPr>
        <w:t>Besoin de financement au pic — 1 701 M ₽</w:t>
      </w:r>
      <w:r>
        <w:t xml:space="preserve"> (flux cumulé négatif maximal). Le tour de départ de 1 800 M ₽ le couvre à 106 %.</w:t>
      </w:r>
    </w:p>
    <w:p>
      <w:pPr>
        <w:pStyle w:val="Heading2"/>
      </w:pPr>
      <w:r>
        <w:t>Feuille 5. Valeur d’entreprise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Paramètre</w:t>
            </w:r>
          </w:p>
        </w:tc>
        <w:tc>
          <w:tcPr>
            <w:tcW w:type="dxa" w:w="4320"/>
          </w:tcPr>
          <w:p>
            <w:r>
              <w:rPr>
                <w:b/>
                <w:sz w:val="17"/>
              </w:rPr>
            </w:r>
            <w:r>
              <w:rPr>
                <w:b/>
                <w:sz w:val="17"/>
              </w:rPr>
              <w:t>Valeur</w:t>
            </w:r>
          </w:p>
        </w:tc>
      </w:tr>
      <w:tr>
        <w:tc>
          <w:tcPr>
            <w:tcW w:type="dxa" w:w="4320"/>
          </w:tcPr>
          <w:p>
            <w:r>
              <w:rPr>
                <w:sz w:val="17"/>
              </w:rPr>
            </w:r>
            <w:r>
              <w:rPr>
                <w:sz w:val="17"/>
              </w:rPr>
              <w:t>Somme des flux actualisés sur 10 ans</w:t>
            </w:r>
          </w:p>
        </w:tc>
        <w:tc>
          <w:tcPr>
            <w:tcW w:type="dxa" w:w="4320"/>
          </w:tcPr>
          <w:p>
            <w:r>
              <w:rPr>
                <w:sz w:val="17"/>
              </w:rPr>
            </w:r>
            <w:r>
              <w:rPr>
                <w:sz w:val="17"/>
              </w:rPr>
              <w:t>38 988</w:t>
            </w:r>
          </w:p>
        </w:tc>
      </w:tr>
      <w:tr>
        <w:tc>
          <w:tcPr>
            <w:tcW w:type="dxa" w:w="4320"/>
          </w:tcPr>
          <w:p>
            <w:r>
              <w:rPr>
                <w:sz w:val="17"/>
              </w:rPr>
            </w:r>
            <w:r>
              <w:rPr>
                <w:sz w:val="17"/>
              </w:rPr>
              <w:t>Flux normalisé pour la période terminale</w:t>
            </w:r>
          </w:p>
        </w:tc>
        <w:tc>
          <w:tcPr>
            <w:tcW w:type="dxa" w:w="4320"/>
          </w:tcPr>
          <w:p>
            <w:r>
              <w:rPr>
                <w:sz w:val="17"/>
              </w:rPr>
            </w:r>
            <w:r>
              <w:rPr>
                <w:sz w:val="17"/>
              </w:rPr>
              <w:t>78 715</w:t>
            </w:r>
          </w:p>
        </w:tc>
      </w:tr>
      <w:tr>
        <w:tc>
          <w:tcPr>
            <w:tcW w:type="dxa" w:w="4320"/>
          </w:tcPr>
          <w:p>
            <w:r>
              <w:rPr>
                <w:sz w:val="17"/>
              </w:rPr>
            </w:r>
            <w:r>
              <w:rPr>
                <w:sz w:val="17"/>
              </w:rPr>
              <w:t>Valeur terminale en fin d’horizon</w:t>
            </w:r>
          </w:p>
        </w:tc>
        <w:tc>
          <w:tcPr>
            <w:tcW w:type="dxa" w:w="4320"/>
          </w:tcPr>
          <w:p>
            <w:r>
              <w:rPr>
                <w:sz w:val="17"/>
              </w:rPr>
            </w:r>
            <w:r>
              <w:rPr>
                <w:sz w:val="17"/>
              </w:rPr>
              <w:t>320 035</w:t>
            </w:r>
          </w:p>
        </w:tc>
      </w:tr>
      <w:tr>
        <w:tc>
          <w:tcPr>
            <w:tcW w:type="dxa" w:w="4320"/>
          </w:tcPr>
          <w:p>
            <w:r>
              <w:rPr>
                <w:sz w:val="17"/>
              </w:rPr>
            </w:r>
            <w:r>
              <w:rPr>
                <w:sz w:val="17"/>
              </w:rPr>
              <w:t>Valeur terminale actualisée</w:t>
            </w:r>
          </w:p>
        </w:tc>
        <w:tc>
          <w:tcPr>
            <w:tcW w:type="dxa" w:w="4320"/>
          </w:tcPr>
          <w:p>
            <w:r>
              <w:rPr>
                <w:sz w:val="17"/>
              </w:rPr>
            </w:r>
            <w:r>
              <w:rPr>
                <w:sz w:val="17"/>
              </w:rPr>
              <w:t>23 979</w:t>
            </w:r>
          </w:p>
        </w:tc>
      </w:tr>
      <w:tr>
        <w:tc>
          <w:tcPr>
            <w:tcW w:type="dxa" w:w="4320"/>
          </w:tcPr>
          <w:p>
            <w:r>
              <w:rPr>
                <w:sz w:val="17"/>
              </w:rPr>
            </w:r>
            <w:r>
              <w:rPr>
                <w:sz w:val="17"/>
              </w:rPr>
              <w:t>Part de la valeur terminale dans la valeur d’entreprise</w:t>
            </w:r>
          </w:p>
        </w:tc>
        <w:tc>
          <w:tcPr>
            <w:tcW w:type="dxa" w:w="4320"/>
          </w:tcPr>
          <w:p>
            <w:r>
              <w:rPr>
                <w:sz w:val="17"/>
              </w:rPr>
            </w:r>
            <w:r>
              <w:rPr>
                <w:sz w:val="17"/>
              </w:rPr>
              <w:t>38 %</w:t>
            </w:r>
          </w:p>
        </w:tc>
      </w:tr>
      <w:tr>
        <w:tc>
          <w:tcPr>
            <w:tcW w:type="dxa" w:w="4320"/>
          </w:tcPr>
          <w:p>
            <w:r>
              <w:rPr>
                <w:sz w:val="17"/>
              </w:rPr>
            </w:r>
            <w:r>
              <w:rPr>
                <w:b/>
                <w:sz w:val="17"/>
              </w:rPr>
              <w:t>Valeur d’entreprise</w:t>
            </w:r>
          </w:p>
        </w:tc>
        <w:tc>
          <w:tcPr>
            <w:tcW w:type="dxa" w:w="4320"/>
          </w:tcPr>
          <w:p>
            <w:r>
              <w:rPr>
                <w:sz w:val="17"/>
              </w:rPr>
            </w:r>
            <w:r>
              <w:rPr>
                <w:b/>
                <w:sz w:val="17"/>
              </w:rPr>
              <w:t>62 967</w:t>
            </w:r>
          </w:p>
        </w:tc>
      </w:tr>
      <w:tr>
        <w:tc>
          <w:tcPr>
            <w:tcW w:type="dxa" w:w="4320"/>
          </w:tcPr>
          <w:p>
            <w:r>
              <w:rPr>
                <w:sz w:val="17"/>
              </w:rPr>
            </w:r>
            <w:r>
              <w:rPr>
                <w:sz w:val="17"/>
              </w:rPr>
              <w:t>Idem en dollars au cours de 71,55</w:t>
            </w:r>
          </w:p>
        </w:tc>
        <w:tc>
          <w:tcPr>
            <w:tcW w:type="dxa" w:w="4320"/>
          </w:tcPr>
          <w:p>
            <w:r>
              <w:rPr>
                <w:sz w:val="17"/>
              </w:rPr>
            </w:r>
            <w:r>
              <w:rPr>
                <w:sz w:val="17"/>
              </w:rPr>
              <w:t>≈ 880</w:t>
            </w:r>
          </w:p>
        </w:tc>
      </w:tr>
      <w:tr>
        <w:tc>
          <w:tcPr>
            <w:tcW w:type="dxa" w:w="4320"/>
          </w:tcPr>
          <w:p>
            <w:r>
              <w:rPr>
                <w:sz w:val="17"/>
              </w:rPr>
            </w:r>
            <w:r>
              <w:rPr>
                <w:sz w:val="17"/>
              </w:rPr>
              <w:t>Taux de rendement interne du projet</w:t>
            </w:r>
          </w:p>
        </w:tc>
        <w:tc>
          <w:tcPr>
            <w:tcW w:type="dxa" w:w="4320"/>
          </w:tcPr>
          <w:p>
            <w:r>
              <w:rPr>
                <w:sz w:val="17"/>
              </w:rPr>
            </w:r>
            <w:r>
              <w:rPr>
                <w:sz w:val="17"/>
              </w:rPr>
              <w:t>182,1 %</w:t>
            </w:r>
          </w:p>
        </w:tc>
      </w:tr>
      <w:tr>
        <w:tc>
          <w:tcPr>
            <w:tcW w:type="dxa" w:w="4320"/>
          </w:tcPr>
          <w:p>
            <w:r>
              <w:rPr>
                <w:sz w:val="17"/>
              </w:rPr>
            </w:r>
            <w:r>
              <w:rPr>
                <w:sz w:val="17"/>
              </w:rPr>
              <w:t>Délai de récupération simple</w:t>
            </w:r>
          </w:p>
        </w:tc>
        <w:tc>
          <w:tcPr>
            <w:tcW w:type="dxa" w:w="4320"/>
          </w:tcPr>
          <w:p>
            <w:r>
              <w:rPr>
                <w:sz w:val="17"/>
              </w:rPr>
            </w:r>
            <w:r>
              <w:rPr>
                <w:sz w:val="17"/>
              </w:rPr>
              <w:t>2,73 ans</w:t>
            </w:r>
          </w:p>
        </w:tc>
      </w:tr>
      <w:tr>
        <w:tc>
          <w:tcPr>
            <w:tcW w:type="dxa" w:w="4320"/>
          </w:tcPr>
          <w:p>
            <w:r>
              <w:rPr>
                <w:sz w:val="17"/>
              </w:rPr>
            </w:r>
            <w:r>
              <w:rPr>
                <w:sz w:val="17"/>
              </w:rPr>
              <w:t>Délai de récupération actualisé</w:t>
            </w:r>
          </w:p>
        </w:tc>
        <w:tc>
          <w:tcPr>
            <w:tcW w:type="dxa" w:w="4320"/>
          </w:tcPr>
          <w:p>
            <w:r>
              <w:rPr>
                <w:sz w:val="17"/>
              </w:rPr>
            </w:r>
            <w:r>
              <w:rPr>
                <w:sz w:val="17"/>
              </w:rPr>
              <w:t>3,05 ans</w:t>
            </w:r>
          </w:p>
        </w:tc>
      </w:tr>
    </w:tbl>
    <w:p/>
    <w:p>
      <w:pPr>
        <w:ind w:left="360"/>
      </w:pPr>
      <w:r>
        <w:rPr>
          <w:b/>
          <w:i/>
          <w:color w:val="444444"/>
        </w:rPr>
        <w:t>Réserve sur le taux de rendement interne.</w:t>
      </w:r>
      <w:r>
        <w:rPr>
          <w:i/>
          <w:color w:val="444444"/>
        </w:rPr>
        <w:t xml:space="preserve"> La valeur de 182 % est obtenue sur des flux de projet où les apports initiaux sont faibles (un pic de 1 701 M ₽) tandis que les flux de maturité se comptent en dizaines de milliards. Un tel rendement n’est pas un avantage du projet : il montre que le modèle ne reflète pas le coût complet d’entrée sur ce marché — fonds propres de l’opérateur de système d’information, réserves, coût d’acquisition des constituants du gage. Le chiffre est donné pour l’exhaustivité ; les négociations doivent s’appuyer sur la valeur d’entreprise et sur le calcul investisseur (feuille 8).</w:t>
      </w:r>
    </w:p>
    <w:p>
      <w:pPr>
        <w:pStyle w:val="Heading2"/>
      </w:pPr>
      <w:r>
        <w:t>Feuille 6. Scénarios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Scénario</w:t>
            </w:r>
          </w:p>
        </w:tc>
        <w:tc>
          <w:tcPr>
            <w:tcW w:type="dxa" w:w="1440"/>
          </w:tcPr>
          <w:p>
            <w:r>
              <w:rPr>
                <w:b/>
                <w:sz w:val="17"/>
              </w:rPr>
            </w:r>
            <w:r>
              <w:rPr>
                <w:b/>
                <w:sz w:val="17"/>
              </w:rPr>
              <w:t>Part de marché année 10</w:t>
            </w:r>
          </w:p>
        </w:tc>
        <w:tc>
          <w:tcPr>
            <w:tcW w:type="dxa" w:w="1440"/>
          </w:tcPr>
          <w:p>
            <w:r>
              <w:rPr>
                <w:b/>
                <w:sz w:val="17"/>
              </w:rPr>
            </w:r>
            <w:r>
              <w:rPr>
                <w:b/>
                <w:sz w:val="17"/>
              </w:rPr>
              <w:t>Poids</w:t>
            </w:r>
          </w:p>
        </w:tc>
        <w:tc>
          <w:tcPr>
            <w:tcW w:type="dxa" w:w="1440"/>
          </w:tcPr>
          <w:p>
            <w:r>
              <w:rPr>
                <w:b/>
                <w:sz w:val="17"/>
              </w:rPr>
            </w:r>
            <w:r>
              <w:rPr>
                <w:b/>
                <w:sz w:val="17"/>
              </w:rPr>
              <w:t>Chiffre d’affaires année 10, M ₽</w:t>
            </w:r>
          </w:p>
        </w:tc>
        <w:tc>
          <w:tcPr>
            <w:tcW w:type="dxa" w:w="1440"/>
          </w:tcPr>
          <w:p>
            <w:r>
              <w:rPr>
                <w:b/>
                <w:sz w:val="17"/>
              </w:rPr>
            </w:r>
            <w:r>
              <w:rPr>
                <w:b/>
                <w:sz w:val="17"/>
              </w:rPr>
              <w:t>Valeur d’entreprise, Md ₽</w:t>
            </w:r>
          </w:p>
        </w:tc>
        <w:tc>
          <w:tcPr>
            <w:tcW w:type="dxa" w:w="1440"/>
          </w:tcPr>
          <w:p>
            <w:r>
              <w:rPr>
                <w:b/>
                <w:sz w:val="17"/>
              </w:rPr>
            </w:r>
            <w:r>
              <w:rPr>
                <w:b/>
                <w:sz w:val="17"/>
              </w:rPr>
              <w:t>Récupération, ans</w:t>
            </w:r>
          </w:p>
        </w:tc>
      </w:tr>
      <w:tr>
        <w:tc>
          <w:tcPr>
            <w:tcW w:type="dxa" w:w="1440"/>
          </w:tcPr>
          <w:p>
            <w:r>
              <w:rPr>
                <w:sz w:val="17"/>
              </w:rPr>
            </w:r>
            <w:r>
              <w:rPr>
                <w:sz w:val="17"/>
              </w:rPr>
              <w:t>Conservateur</w:t>
            </w:r>
          </w:p>
        </w:tc>
        <w:tc>
          <w:tcPr>
            <w:tcW w:type="dxa" w:w="1440"/>
          </w:tcPr>
          <w:p>
            <w:r>
              <w:rPr>
                <w:sz w:val="17"/>
              </w:rPr>
            </w:r>
            <w:r>
              <w:rPr>
                <w:sz w:val="17"/>
              </w:rPr>
              <w:t>7 %</w:t>
            </w:r>
          </w:p>
        </w:tc>
        <w:tc>
          <w:tcPr>
            <w:tcW w:type="dxa" w:w="1440"/>
          </w:tcPr>
          <w:p>
            <w:r>
              <w:rPr>
                <w:sz w:val="17"/>
              </w:rPr>
            </w:r>
            <w:r>
              <w:rPr>
                <w:sz w:val="17"/>
              </w:rPr>
              <w:t>15 %</w:t>
            </w:r>
          </w:p>
        </w:tc>
        <w:tc>
          <w:tcPr>
            <w:tcW w:type="dxa" w:w="1440"/>
          </w:tcPr>
          <w:p>
            <w:r>
              <w:rPr>
                <w:sz w:val="17"/>
              </w:rPr>
            </w:r>
            <w:r>
              <w:rPr>
                <w:sz w:val="17"/>
              </w:rPr>
              <w:t>56 164</w:t>
            </w:r>
          </w:p>
        </w:tc>
        <w:tc>
          <w:tcPr>
            <w:tcW w:type="dxa" w:w="1440"/>
          </w:tcPr>
          <w:p>
            <w:r>
              <w:rPr>
                <w:sz w:val="17"/>
              </w:rPr>
            </w:r>
            <w:r>
              <w:rPr>
                <w:sz w:val="17"/>
              </w:rPr>
              <w:t>20,1</w:t>
            </w:r>
          </w:p>
        </w:tc>
        <w:tc>
          <w:tcPr>
            <w:tcW w:type="dxa" w:w="1440"/>
          </w:tcPr>
          <w:p>
            <w:r>
              <w:rPr>
                <w:sz w:val="17"/>
              </w:rPr>
            </w:r>
            <w:r>
              <w:rPr>
                <w:sz w:val="17"/>
              </w:rPr>
              <w:t>3,94</w:t>
            </w:r>
          </w:p>
        </w:tc>
      </w:tr>
      <w:tr>
        <w:tc>
          <w:tcPr>
            <w:tcW w:type="dxa" w:w="1440"/>
          </w:tcPr>
          <w:p>
            <w:r>
              <w:rPr>
                <w:sz w:val="17"/>
              </w:rPr>
            </w:r>
            <w:r>
              <w:rPr>
                <w:sz w:val="17"/>
              </w:rPr>
              <w:t>Base</w:t>
            </w:r>
          </w:p>
        </w:tc>
        <w:tc>
          <w:tcPr>
            <w:tcW w:type="dxa" w:w="1440"/>
          </w:tcPr>
          <w:p>
            <w:r>
              <w:rPr>
                <w:sz w:val="17"/>
              </w:rPr>
            </w:r>
            <w:r>
              <w:rPr>
                <w:sz w:val="17"/>
              </w:rPr>
              <w:t>18 %</w:t>
            </w:r>
          </w:p>
        </w:tc>
        <w:tc>
          <w:tcPr>
            <w:tcW w:type="dxa" w:w="1440"/>
          </w:tcPr>
          <w:p>
            <w:r>
              <w:rPr>
                <w:sz w:val="17"/>
              </w:rPr>
            </w:r>
            <w:r>
              <w:rPr>
                <w:sz w:val="17"/>
              </w:rPr>
              <w:t>55 %</w:t>
            </w:r>
          </w:p>
        </w:tc>
        <w:tc>
          <w:tcPr>
            <w:tcW w:type="dxa" w:w="1440"/>
          </w:tcPr>
          <w:p>
            <w:r>
              <w:rPr>
                <w:sz w:val="17"/>
              </w:rPr>
            </w:r>
            <w:r>
              <w:rPr>
                <w:sz w:val="17"/>
              </w:rPr>
              <w:t>142 615</w:t>
            </w:r>
          </w:p>
        </w:tc>
        <w:tc>
          <w:tcPr>
            <w:tcW w:type="dxa" w:w="1440"/>
          </w:tcPr>
          <w:p>
            <w:r>
              <w:rPr>
                <w:sz w:val="17"/>
              </w:rPr>
            </w:r>
            <w:r>
              <w:rPr>
                <w:sz w:val="17"/>
              </w:rPr>
              <w:t>63,0</w:t>
            </w:r>
          </w:p>
        </w:tc>
        <w:tc>
          <w:tcPr>
            <w:tcW w:type="dxa" w:w="1440"/>
          </w:tcPr>
          <w:p>
            <w:r>
              <w:rPr>
                <w:sz w:val="17"/>
              </w:rPr>
            </w:r>
            <w:r>
              <w:rPr>
                <w:sz w:val="17"/>
              </w:rPr>
              <w:t>2,73</w:t>
            </w:r>
          </w:p>
        </w:tc>
      </w:tr>
      <w:tr>
        <w:tc>
          <w:tcPr>
            <w:tcW w:type="dxa" w:w="1440"/>
          </w:tcPr>
          <w:p>
            <w:r>
              <w:rPr>
                <w:sz w:val="17"/>
              </w:rPr>
            </w:r>
            <w:r>
              <w:rPr>
                <w:sz w:val="17"/>
              </w:rPr>
              <w:t>Optimiste</w:t>
            </w:r>
          </w:p>
        </w:tc>
        <w:tc>
          <w:tcPr>
            <w:tcW w:type="dxa" w:w="1440"/>
          </w:tcPr>
          <w:p>
            <w:r>
              <w:rPr>
                <w:sz w:val="17"/>
              </w:rPr>
            </w:r>
            <w:r>
              <w:rPr>
                <w:sz w:val="17"/>
              </w:rPr>
              <w:t>25 %</w:t>
            </w:r>
          </w:p>
        </w:tc>
        <w:tc>
          <w:tcPr>
            <w:tcW w:type="dxa" w:w="1440"/>
          </w:tcPr>
          <w:p>
            <w:r>
              <w:rPr>
                <w:sz w:val="17"/>
              </w:rPr>
            </w:r>
            <w:r>
              <w:rPr>
                <w:sz w:val="17"/>
              </w:rPr>
              <w:t>30 %</w:t>
            </w:r>
          </w:p>
        </w:tc>
        <w:tc>
          <w:tcPr>
            <w:tcW w:type="dxa" w:w="1440"/>
          </w:tcPr>
          <w:p>
            <w:r>
              <w:rPr>
                <w:sz w:val="17"/>
              </w:rPr>
            </w:r>
            <w:r>
              <w:rPr>
                <w:sz w:val="17"/>
              </w:rPr>
              <w:t>197 629</w:t>
            </w:r>
          </w:p>
        </w:tc>
        <w:tc>
          <w:tcPr>
            <w:tcW w:type="dxa" w:w="1440"/>
          </w:tcPr>
          <w:p>
            <w:r>
              <w:rPr>
                <w:sz w:val="17"/>
              </w:rPr>
            </w:r>
            <w:r>
              <w:rPr>
                <w:sz w:val="17"/>
              </w:rPr>
              <w:t>90,2</w:t>
            </w:r>
          </w:p>
        </w:tc>
        <w:tc>
          <w:tcPr>
            <w:tcW w:type="dxa" w:w="1440"/>
          </w:tcPr>
          <w:p>
            <w:r>
              <w:rPr>
                <w:sz w:val="17"/>
              </w:rPr>
            </w:r>
            <w:r>
              <w:rPr>
                <w:sz w:val="17"/>
              </w:rPr>
              <w:t>2,38</w:t>
            </w:r>
          </w:p>
        </w:tc>
      </w:tr>
      <w:tr>
        <w:tc>
          <w:tcPr>
            <w:tcW w:type="dxa" w:w="1440"/>
          </w:tcPr>
          <w:p>
            <w:r>
              <w:rPr>
                <w:sz w:val="17"/>
              </w:rPr>
            </w:r>
            <w:r>
              <w:rPr>
                <w:b/>
                <w:sz w:val="17"/>
              </w:rPr>
              <w:t>Valeur attendue</w:t>
            </w:r>
          </w:p>
        </w:tc>
        <w:tc>
          <w:tcPr>
            <w:tcW w:type="dxa" w:w="1440"/>
          </w:tcPr>
          <w:p>
            <w:r>
              <w:rPr>
                <w:sz w:val="17"/>
              </w:rPr>
            </w:r>
            <w:r>
              <w:rPr>
                <w:sz w:val="17"/>
              </w:rPr>
              <w:t>—</w:t>
            </w:r>
          </w:p>
        </w:tc>
        <w:tc>
          <w:tcPr>
            <w:tcW w:type="dxa" w:w="1440"/>
          </w:tcPr>
          <w:p>
            <w:r>
              <w:rPr>
                <w:sz w:val="17"/>
              </w:rPr>
            </w:r>
            <w:r>
              <w:rPr>
                <w:sz w:val="17"/>
              </w:rPr>
              <w:t>100%</w:t>
            </w:r>
          </w:p>
        </w:tc>
        <w:tc>
          <w:tcPr>
            <w:tcW w:type="dxa" w:w="1440"/>
          </w:tcPr>
          <w:p>
            <w:r>
              <w:rPr>
                <w:sz w:val="17"/>
              </w:rPr>
            </w:r>
            <w:r>
              <w:rPr>
                <w:sz w:val="17"/>
              </w:rPr>
              <w:t>—</w:t>
            </w:r>
          </w:p>
        </w:tc>
        <w:tc>
          <w:tcPr>
            <w:tcW w:type="dxa" w:w="1440"/>
          </w:tcPr>
          <w:p>
            <w:r>
              <w:rPr>
                <w:sz w:val="17"/>
              </w:rPr>
            </w:r>
            <w:r>
              <w:rPr>
                <w:b/>
                <w:sz w:val="17"/>
              </w:rPr>
              <w:t>64,7</w:t>
            </w:r>
          </w:p>
        </w:tc>
        <w:tc>
          <w:tcPr>
            <w:tcW w:type="dxa" w:w="1440"/>
          </w:tcPr>
          <w:p>
            <w:r>
              <w:rPr>
                <w:sz w:val="17"/>
              </w:rPr>
            </w:r>
            <w:r>
              <w:rPr>
                <w:sz w:val="17"/>
              </w:rPr>
              <w:t>—</w:t>
            </w:r>
          </w:p>
        </w:tc>
      </w:tr>
    </w:tbl>
    <w:p/>
    <w:p>
      <w:pPr>
        <w:jc w:val="both"/>
      </w:pPr>
      <w:r>
        <w:t>Les scénarios ne diffèrent que par la part de marché visée en année dix ; la trajectoire est mise à l’échelle proportionnellement. Les poids sont fixés par l’auteur du projet.</w:t>
      </w:r>
    </w:p>
    <w:p>
      <w:pPr>
        <w:pStyle w:val="Heading2"/>
      </w:pPr>
      <w:r>
        <w:t>Feuille 7. Sensibilité</w:t>
      </w:r>
    </w:p>
    <w:p>
      <w:pPr>
        <w:pStyle w:val="Heading3"/>
      </w:pPr>
      <w:r>
        <w:t>7.1. Taux d’actualisation et part de marché</w:t>
      </w:r>
    </w:p>
    <w:p>
      <w:pPr>
        <w:jc w:val="both"/>
      </w:pPr>
      <w:r>
        <w:t>Valeur d’entreprise, M ₽.</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CMPC \\ part de marché année 10</w:t>
            </w:r>
          </w:p>
        </w:tc>
        <w:tc>
          <w:tcPr>
            <w:tcW w:type="dxa" w:w="1440"/>
          </w:tcPr>
          <w:p>
            <w:r>
              <w:rPr>
                <w:b/>
                <w:sz w:val="17"/>
              </w:rPr>
            </w:r>
            <w:r>
              <w:rPr>
                <w:b/>
                <w:sz w:val="17"/>
              </w:rPr>
              <w:t>9,0 %</w:t>
            </w:r>
          </w:p>
        </w:tc>
        <w:tc>
          <w:tcPr>
            <w:tcW w:type="dxa" w:w="1440"/>
          </w:tcPr>
          <w:p>
            <w:r>
              <w:rPr>
                <w:b/>
                <w:sz w:val="17"/>
              </w:rPr>
            </w:r>
            <w:r>
              <w:rPr>
                <w:b/>
                <w:sz w:val="17"/>
              </w:rPr>
              <w:t>13,5 %</w:t>
            </w:r>
          </w:p>
        </w:tc>
        <w:tc>
          <w:tcPr>
            <w:tcW w:type="dxa" w:w="1440"/>
          </w:tcPr>
          <w:p>
            <w:r>
              <w:rPr>
                <w:b/>
                <w:sz w:val="17"/>
              </w:rPr>
            </w:r>
            <w:r>
              <w:rPr>
                <w:b/>
                <w:sz w:val="17"/>
              </w:rPr>
              <w:t>18,0 %</w:t>
            </w:r>
          </w:p>
        </w:tc>
        <w:tc>
          <w:tcPr>
            <w:tcW w:type="dxa" w:w="1440"/>
          </w:tcPr>
          <w:p>
            <w:r>
              <w:rPr>
                <w:b/>
                <w:sz w:val="17"/>
              </w:rPr>
            </w:r>
            <w:r>
              <w:rPr>
                <w:b/>
                <w:sz w:val="17"/>
              </w:rPr>
              <w:t>22,5 %</w:t>
            </w:r>
          </w:p>
        </w:tc>
        <w:tc>
          <w:tcPr>
            <w:tcW w:type="dxa" w:w="1440"/>
          </w:tcPr>
          <w:p>
            <w:r>
              <w:rPr>
                <w:b/>
                <w:sz w:val="17"/>
              </w:rPr>
            </w:r>
            <w:r>
              <w:rPr>
                <w:b/>
                <w:sz w:val="17"/>
              </w:rPr>
              <w:t>27,0 %</w:t>
            </w:r>
          </w:p>
        </w:tc>
      </w:tr>
      <w:tr>
        <w:tc>
          <w:tcPr>
            <w:tcW w:type="dxa" w:w="1440"/>
          </w:tcPr>
          <w:p>
            <w:r>
              <w:rPr>
                <w:sz w:val="17"/>
              </w:rPr>
            </w:r>
            <w:r>
              <w:rPr>
                <w:sz w:val="17"/>
              </w:rPr>
              <w:t>26,50 %</w:t>
            </w:r>
          </w:p>
        </w:tc>
        <w:tc>
          <w:tcPr>
            <w:tcW w:type="dxa" w:w="1440"/>
          </w:tcPr>
          <w:p>
            <w:r>
              <w:rPr>
                <w:sz w:val="17"/>
              </w:rPr>
            </w:r>
            <w:r>
              <w:rPr>
                <w:sz w:val="17"/>
              </w:rPr>
              <w:t>36 389</w:t>
            </w:r>
          </w:p>
        </w:tc>
        <w:tc>
          <w:tcPr>
            <w:tcW w:type="dxa" w:w="1440"/>
          </w:tcPr>
          <w:p>
            <w:r>
              <w:rPr>
                <w:sz w:val="17"/>
              </w:rPr>
            </w:r>
            <w:r>
              <w:rPr>
                <w:sz w:val="17"/>
              </w:rPr>
              <w:t>58 836</w:t>
            </w:r>
          </w:p>
        </w:tc>
        <w:tc>
          <w:tcPr>
            <w:tcW w:type="dxa" w:w="1440"/>
          </w:tcPr>
          <w:p>
            <w:r>
              <w:rPr>
                <w:sz w:val="17"/>
              </w:rPr>
            </w:r>
            <w:r>
              <w:rPr>
                <w:sz w:val="17"/>
              </w:rPr>
              <w:t>81 267</w:t>
            </w:r>
          </w:p>
        </w:tc>
        <w:tc>
          <w:tcPr>
            <w:tcW w:type="dxa" w:w="1440"/>
          </w:tcPr>
          <w:p>
            <w:r>
              <w:rPr>
                <w:sz w:val="17"/>
              </w:rPr>
            </w:r>
            <w:r>
              <w:rPr>
                <w:sz w:val="17"/>
              </w:rPr>
              <w:t>103 692</w:t>
            </w:r>
          </w:p>
        </w:tc>
        <w:tc>
          <w:tcPr>
            <w:tcW w:type="dxa" w:w="1440"/>
          </w:tcPr>
          <w:p>
            <w:r>
              <w:rPr>
                <w:sz w:val="17"/>
              </w:rPr>
            </w:r>
            <w:r>
              <w:rPr>
                <w:sz w:val="17"/>
              </w:rPr>
              <w:t>126 114</w:t>
            </w:r>
          </w:p>
        </w:tc>
      </w:tr>
      <w:tr>
        <w:tc>
          <w:tcPr>
            <w:tcW w:type="dxa" w:w="1440"/>
          </w:tcPr>
          <w:p>
            <w:r>
              <w:rPr>
                <w:sz w:val="17"/>
              </w:rPr>
            </w:r>
            <w:r>
              <w:rPr>
                <w:sz w:val="17"/>
              </w:rPr>
              <w:t>28,00 %</w:t>
            </w:r>
          </w:p>
        </w:tc>
        <w:tc>
          <w:tcPr>
            <w:tcW w:type="dxa" w:w="1440"/>
          </w:tcPr>
          <w:p>
            <w:r>
              <w:rPr>
                <w:sz w:val="17"/>
              </w:rPr>
            </w:r>
            <w:r>
              <w:rPr>
                <w:sz w:val="17"/>
              </w:rPr>
              <w:t>31 874</w:t>
            </w:r>
          </w:p>
        </w:tc>
        <w:tc>
          <w:tcPr>
            <w:tcW w:type="dxa" w:w="1440"/>
          </w:tcPr>
          <w:p>
            <w:r>
              <w:rPr>
                <w:sz w:val="17"/>
              </w:rPr>
            </w:r>
            <w:r>
              <w:rPr>
                <w:sz w:val="17"/>
              </w:rPr>
              <w:t>51 735</w:t>
            </w:r>
          </w:p>
        </w:tc>
        <w:tc>
          <w:tcPr>
            <w:tcW w:type="dxa" w:w="1440"/>
          </w:tcPr>
          <w:p>
            <w:r>
              <w:rPr>
                <w:sz w:val="17"/>
              </w:rPr>
            </w:r>
            <w:r>
              <w:rPr>
                <w:sz w:val="17"/>
              </w:rPr>
              <w:t>71 580</w:t>
            </w:r>
          </w:p>
        </w:tc>
        <w:tc>
          <w:tcPr>
            <w:tcW w:type="dxa" w:w="1440"/>
          </w:tcPr>
          <w:p>
            <w:r>
              <w:rPr>
                <w:sz w:val="17"/>
              </w:rPr>
            </w:r>
            <w:r>
              <w:rPr>
                <w:sz w:val="17"/>
              </w:rPr>
              <w:t>91 418</w:t>
            </w:r>
          </w:p>
        </w:tc>
        <w:tc>
          <w:tcPr>
            <w:tcW w:type="dxa" w:w="1440"/>
          </w:tcPr>
          <w:p>
            <w:r>
              <w:rPr>
                <w:sz w:val="17"/>
              </w:rPr>
            </w:r>
            <w:r>
              <w:rPr>
                <w:sz w:val="17"/>
              </w:rPr>
              <w:t>111 254</w:t>
            </w:r>
          </w:p>
        </w:tc>
      </w:tr>
      <w:tr>
        <w:tc>
          <w:tcPr>
            <w:tcW w:type="dxa" w:w="1440"/>
          </w:tcPr>
          <w:p>
            <w:r>
              <w:rPr>
                <w:sz w:val="17"/>
              </w:rPr>
            </w:r>
            <w:r>
              <w:rPr>
                <w:b/>
                <w:sz w:val="17"/>
              </w:rPr>
              <w:t>29,58 %</w:t>
            </w:r>
          </w:p>
        </w:tc>
        <w:tc>
          <w:tcPr>
            <w:tcW w:type="dxa" w:w="1440"/>
          </w:tcPr>
          <w:p>
            <w:r>
              <w:rPr>
                <w:sz w:val="17"/>
              </w:rPr>
            </w:r>
            <w:r>
              <w:rPr>
                <w:sz w:val="17"/>
              </w:rPr>
              <w:t>27 869</w:t>
            </w:r>
          </w:p>
        </w:tc>
        <w:tc>
          <w:tcPr>
            <w:tcW w:type="dxa" w:w="1440"/>
          </w:tcPr>
          <w:p>
            <w:r>
              <w:rPr>
                <w:sz w:val="17"/>
              </w:rPr>
            </w:r>
            <w:r>
              <w:rPr>
                <w:sz w:val="17"/>
              </w:rPr>
              <w:t>45 426</w:t>
            </w:r>
          </w:p>
        </w:tc>
        <w:tc>
          <w:tcPr>
            <w:tcW w:type="dxa" w:w="1440"/>
          </w:tcPr>
          <w:p>
            <w:r>
              <w:rPr>
                <w:sz w:val="17"/>
              </w:rPr>
            </w:r>
            <w:r>
              <w:rPr>
                <w:sz w:val="17"/>
              </w:rPr>
              <w:t>62 967</w:t>
            </w:r>
          </w:p>
        </w:tc>
        <w:tc>
          <w:tcPr>
            <w:tcW w:type="dxa" w:w="1440"/>
          </w:tcPr>
          <w:p>
            <w:r>
              <w:rPr>
                <w:sz w:val="17"/>
              </w:rPr>
            </w:r>
            <w:r>
              <w:rPr>
                <w:sz w:val="17"/>
              </w:rPr>
              <w:t>80 501</w:t>
            </w:r>
          </w:p>
        </w:tc>
        <w:tc>
          <w:tcPr>
            <w:tcW w:type="dxa" w:w="1440"/>
          </w:tcPr>
          <w:p>
            <w:r>
              <w:rPr>
                <w:sz w:val="17"/>
              </w:rPr>
            </w:r>
            <w:r>
              <w:rPr>
                <w:sz w:val="17"/>
              </w:rPr>
              <w:t>98 033</w:t>
            </w:r>
          </w:p>
        </w:tc>
      </w:tr>
      <w:tr>
        <w:tc>
          <w:tcPr>
            <w:tcW w:type="dxa" w:w="1440"/>
          </w:tcPr>
          <w:p>
            <w:r>
              <w:rPr>
                <w:sz w:val="17"/>
              </w:rPr>
            </w:r>
            <w:r>
              <w:rPr>
                <w:sz w:val="17"/>
              </w:rPr>
              <w:t>31,00 %</w:t>
            </w:r>
          </w:p>
        </w:tc>
        <w:tc>
          <w:tcPr>
            <w:tcW w:type="dxa" w:w="1440"/>
          </w:tcPr>
          <w:p>
            <w:r>
              <w:rPr>
                <w:sz w:val="17"/>
              </w:rPr>
            </w:r>
            <w:r>
              <w:rPr>
                <w:sz w:val="17"/>
              </w:rPr>
              <w:t>24 800</w:t>
            </w:r>
          </w:p>
        </w:tc>
        <w:tc>
          <w:tcPr>
            <w:tcW w:type="dxa" w:w="1440"/>
          </w:tcPr>
          <w:p>
            <w:r>
              <w:rPr>
                <w:sz w:val="17"/>
              </w:rPr>
            </w:r>
            <w:r>
              <w:rPr>
                <w:sz w:val="17"/>
              </w:rPr>
              <w:t>40 585</w:t>
            </w:r>
          </w:p>
        </w:tc>
        <w:tc>
          <w:tcPr>
            <w:tcW w:type="dxa" w:w="1440"/>
          </w:tcPr>
          <w:p>
            <w:r>
              <w:rPr>
                <w:sz w:val="17"/>
              </w:rPr>
            </w:r>
            <w:r>
              <w:rPr>
                <w:sz w:val="17"/>
              </w:rPr>
              <w:t>56 352</w:t>
            </w:r>
          </w:p>
        </w:tc>
        <w:tc>
          <w:tcPr>
            <w:tcW w:type="dxa" w:w="1440"/>
          </w:tcPr>
          <w:p>
            <w:r>
              <w:rPr>
                <w:sz w:val="17"/>
              </w:rPr>
            </w:r>
            <w:r>
              <w:rPr>
                <w:sz w:val="17"/>
              </w:rPr>
              <w:t>72 114</w:t>
            </w:r>
          </w:p>
        </w:tc>
        <w:tc>
          <w:tcPr>
            <w:tcW w:type="dxa" w:w="1440"/>
          </w:tcPr>
          <w:p>
            <w:r>
              <w:rPr>
                <w:sz w:val="17"/>
              </w:rPr>
            </w:r>
            <w:r>
              <w:rPr>
                <w:sz w:val="17"/>
              </w:rPr>
              <w:t>87 872</w:t>
            </w:r>
          </w:p>
        </w:tc>
      </w:tr>
      <w:tr>
        <w:tc>
          <w:tcPr>
            <w:tcW w:type="dxa" w:w="1440"/>
          </w:tcPr>
          <w:p>
            <w:r>
              <w:rPr>
                <w:sz w:val="17"/>
              </w:rPr>
            </w:r>
            <w:r>
              <w:rPr>
                <w:sz w:val="17"/>
              </w:rPr>
              <w:t>33,00 %</w:t>
            </w:r>
          </w:p>
        </w:tc>
        <w:tc>
          <w:tcPr>
            <w:tcW w:type="dxa" w:w="1440"/>
          </w:tcPr>
          <w:p>
            <w:r>
              <w:rPr>
                <w:sz w:val="17"/>
              </w:rPr>
            </w:r>
            <w:r>
              <w:rPr>
                <w:sz w:val="17"/>
              </w:rPr>
              <w:t>21 167</w:t>
            </w:r>
          </w:p>
        </w:tc>
        <w:tc>
          <w:tcPr>
            <w:tcW w:type="dxa" w:w="1440"/>
          </w:tcPr>
          <w:p>
            <w:r>
              <w:rPr>
                <w:sz w:val="17"/>
              </w:rPr>
            </w:r>
            <w:r>
              <w:rPr>
                <w:sz w:val="17"/>
              </w:rPr>
              <w:t>34 843</w:t>
            </w:r>
          </w:p>
        </w:tc>
        <w:tc>
          <w:tcPr>
            <w:tcW w:type="dxa" w:w="1440"/>
          </w:tcPr>
          <w:p>
            <w:r>
              <w:rPr>
                <w:sz w:val="17"/>
              </w:rPr>
            </w:r>
            <w:r>
              <w:rPr>
                <w:sz w:val="17"/>
              </w:rPr>
              <w:t>48 501</w:t>
            </w:r>
          </w:p>
        </w:tc>
        <w:tc>
          <w:tcPr>
            <w:tcW w:type="dxa" w:w="1440"/>
          </w:tcPr>
          <w:p>
            <w:r>
              <w:rPr>
                <w:sz w:val="17"/>
              </w:rPr>
            </w:r>
            <w:r>
              <w:rPr>
                <w:sz w:val="17"/>
              </w:rPr>
              <w:t>62 154</w:t>
            </w:r>
          </w:p>
        </w:tc>
        <w:tc>
          <w:tcPr>
            <w:tcW w:type="dxa" w:w="1440"/>
          </w:tcPr>
          <w:p>
            <w:r>
              <w:rPr>
                <w:sz w:val="17"/>
              </w:rPr>
            </w:r>
            <w:r>
              <w:rPr>
                <w:sz w:val="17"/>
              </w:rPr>
              <w:t>75 803</w:t>
            </w:r>
          </w:p>
        </w:tc>
      </w:tr>
    </w:tbl>
    <w:p/>
    <w:p>
      <w:pPr>
        <w:pStyle w:val="Heading3"/>
      </w:pPr>
      <w:r>
        <w:t>7.2. Charges d’exploitation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Écart des charges</w:t>
            </w:r>
          </w:p>
        </w:tc>
        <w:tc>
          <w:tcPr>
            <w:tcW w:type="dxa" w:w="1440"/>
          </w:tcPr>
          <w:p>
            <w:r>
              <w:rPr>
                <w:b/>
                <w:sz w:val="17"/>
              </w:rPr>
            </w:r>
            <w:r>
              <w:rPr>
                <w:b/>
                <w:sz w:val="17"/>
              </w:rPr>
              <w:t>-10 %</w:t>
            </w:r>
          </w:p>
        </w:tc>
        <w:tc>
          <w:tcPr>
            <w:tcW w:type="dxa" w:w="1440"/>
          </w:tcPr>
          <w:p>
            <w:r>
              <w:rPr>
                <w:b/>
                <w:sz w:val="17"/>
              </w:rPr>
            </w:r>
            <w:r>
              <w:rPr>
                <w:b/>
                <w:sz w:val="17"/>
              </w:rPr>
              <w:t>0 %</w:t>
            </w:r>
          </w:p>
        </w:tc>
        <w:tc>
          <w:tcPr>
            <w:tcW w:type="dxa" w:w="1440"/>
          </w:tcPr>
          <w:p>
            <w:r>
              <w:rPr>
                <w:b/>
                <w:sz w:val="17"/>
              </w:rPr>
            </w:r>
            <w:r>
              <w:rPr>
                <w:b/>
                <w:sz w:val="17"/>
              </w:rPr>
              <w:t>10 %</w:t>
            </w:r>
          </w:p>
        </w:tc>
        <w:tc>
          <w:tcPr>
            <w:tcW w:type="dxa" w:w="1440"/>
          </w:tcPr>
          <w:p>
            <w:r>
              <w:rPr>
                <w:b/>
                <w:sz w:val="17"/>
              </w:rPr>
            </w:r>
            <w:r>
              <w:rPr>
                <w:b/>
                <w:sz w:val="17"/>
              </w:rPr>
              <w:t>20 %</w:t>
            </w:r>
          </w:p>
        </w:tc>
        <w:tc>
          <w:tcPr>
            <w:tcW w:type="dxa" w:w="1440"/>
          </w:tcPr>
          <w:p>
            <w:r>
              <w:rPr>
                <w:b/>
                <w:sz w:val="17"/>
              </w:rPr>
            </w:r>
            <w:r>
              <w:rPr>
                <w:b/>
                <w:sz w:val="17"/>
              </w:rPr>
              <w:t>30 %</w:t>
            </w:r>
          </w:p>
        </w:tc>
      </w:tr>
      <w:tr>
        <w:tc>
          <w:tcPr>
            <w:tcW w:type="dxa" w:w="1440"/>
          </w:tcPr>
          <w:p>
            <w:r>
              <w:rPr>
                <w:sz w:val="17"/>
              </w:rPr>
            </w:r>
            <w:r>
              <w:rPr>
                <w:sz w:val="17"/>
              </w:rPr>
              <w:t>Valeur d’entreprise, M ₽</w:t>
            </w:r>
          </w:p>
        </w:tc>
        <w:tc>
          <w:tcPr>
            <w:tcW w:type="dxa" w:w="1440"/>
          </w:tcPr>
          <w:p>
            <w:r>
              <w:rPr>
                <w:sz w:val="17"/>
              </w:rPr>
            </w:r>
            <w:r>
              <w:rPr>
                <w:sz w:val="17"/>
              </w:rPr>
              <w:t>65 513</w:t>
            </w:r>
          </w:p>
        </w:tc>
        <w:tc>
          <w:tcPr>
            <w:tcW w:type="dxa" w:w="1440"/>
          </w:tcPr>
          <w:p>
            <w:r>
              <w:rPr>
                <w:sz w:val="17"/>
              </w:rPr>
            </w:r>
            <w:r>
              <w:rPr>
                <w:sz w:val="17"/>
              </w:rPr>
              <w:t>62 967</w:t>
            </w:r>
          </w:p>
        </w:tc>
        <w:tc>
          <w:tcPr>
            <w:tcW w:type="dxa" w:w="1440"/>
          </w:tcPr>
          <w:p>
            <w:r>
              <w:rPr>
                <w:sz w:val="17"/>
              </w:rPr>
            </w:r>
            <w:r>
              <w:rPr>
                <w:sz w:val="17"/>
              </w:rPr>
              <w:t>60 420</w:t>
            </w:r>
          </w:p>
        </w:tc>
        <w:tc>
          <w:tcPr>
            <w:tcW w:type="dxa" w:w="1440"/>
          </w:tcPr>
          <w:p>
            <w:r>
              <w:rPr>
                <w:sz w:val="17"/>
              </w:rPr>
            </w:r>
            <w:r>
              <w:rPr>
                <w:sz w:val="17"/>
              </w:rPr>
              <w:t>57 871</w:t>
            </w:r>
          </w:p>
        </w:tc>
        <w:tc>
          <w:tcPr>
            <w:tcW w:type="dxa" w:w="1440"/>
          </w:tcPr>
          <w:p>
            <w:r>
              <w:rPr>
                <w:sz w:val="17"/>
              </w:rPr>
            </w:r>
            <w:r>
              <w:rPr>
                <w:sz w:val="17"/>
              </w:rPr>
              <w:t>55 315</w:t>
            </w:r>
          </w:p>
        </w:tc>
      </w:tr>
    </w:tbl>
    <w:p/>
    <w:p>
      <w:pPr>
        <w:jc w:val="both"/>
      </w:pPr>
      <w:r>
        <w:t>La sensibilité aux charges est faible : même une hausse de 30 % ne modifie la valorisation que de 12 %. Cela signifie que toute la valeur est déterminée par les hypothèses de chiffre d’affaires, c’est-à-dire par la trajectoire de part de marché.</w:t>
      </w:r>
    </w:p>
    <w:p>
      <w:pPr>
        <w:pStyle w:val="Heading3"/>
      </w:pPr>
      <w:r>
        <w:t>7.3. Retard de lancement — le risque principal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Retard de la première émission</w:t>
            </w:r>
          </w:p>
        </w:tc>
        <w:tc>
          <w:tcPr>
            <w:tcW w:type="dxa" w:w="1728"/>
          </w:tcPr>
          <w:p>
            <w:r>
              <w:rPr>
                <w:b/>
                <w:sz w:val="17"/>
              </w:rPr>
            </w:r>
            <w:r>
              <w:rPr>
                <w:b/>
                <w:sz w:val="17"/>
              </w:rPr>
              <w:t>Première année avec émission</w:t>
            </w:r>
          </w:p>
        </w:tc>
        <w:tc>
          <w:tcPr>
            <w:tcW w:type="dxa" w:w="1728"/>
          </w:tcPr>
          <w:p>
            <w:r>
              <w:rPr>
                <w:b/>
                <w:sz w:val="17"/>
              </w:rPr>
            </w:r>
            <w:r>
              <w:rPr>
                <w:b/>
                <w:sz w:val="17"/>
              </w:rPr>
              <w:t>CA année 10, M ₽</w:t>
            </w:r>
          </w:p>
        </w:tc>
        <w:tc>
          <w:tcPr>
            <w:tcW w:type="dxa" w:w="1728"/>
          </w:tcPr>
          <w:p>
            <w:r>
              <w:rPr>
                <w:b/>
                <w:sz w:val="17"/>
              </w:rPr>
            </w:r>
            <w:r>
              <w:rPr>
                <w:b/>
                <w:sz w:val="17"/>
              </w:rPr>
              <w:t>Valeur d’entreprise, Md ₽</w:t>
            </w:r>
          </w:p>
        </w:tc>
        <w:tc>
          <w:tcPr>
            <w:tcW w:type="dxa" w:w="1728"/>
          </w:tcPr>
          <w:p>
            <w:r>
              <w:rPr>
                <w:b/>
                <w:sz w:val="17"/>
              </w:rPr>
            </w:r>
            <w:r>
              <w:rPr>
                <w:b/>
                <w:sz w:val="17"/>
              </w:rPr>
              <w:t>Besoin au pic, M ₽</w:t>
            </w:r>
          </w:p>
        </w:tc>
      </w:tr>
      <w:tr>
        <w:tc>
          <w:tcPr>
            <w:tcW w:type="dxa" w:w="1728"/>
          </w:tcPr>
          <w:p>
            <w:r>
              <w:rPr>
                <w:sz w:val="17"/>
              </w:rPr>
            </w:r>
            <w:r>
              <w:rPr>
                <w:sz w:val="17"/>
              </w:rPr>
              <w:t>aucun</w:t>
            </w:r>
          </w:p>
        </w:tc>
        <w:tc>
          <w:tcPr>
            <w:tcW w:type="dxa" w:w="1728"/>
          </w:tcPr>
          <w:p>
            <w:r>
              <w:rPr>
                <w:sz w:val="17"/>
              </w:rPr>
            </w:r>
            <w:r>
              <w:rPr>
                <w:sz w:val="17"/>
              </w:rPr>
              <w:t>2028</w:t>
            </w:r>
          </w:p>
        </w:tc>
        <w:tc>
          <w:tcPr>
            <w:tcW w:type="dxa" w:w="1728"/>
          </w:tcPr>
          <w:p>
            <w:r>
              <w:rPr>
                <w:sz w:val="17"/>
              </w:rPr>
            </w:r>
            <w:r>
              <w:rPr>
                <w:sz w:val="17"/>
              </w:rPr>
              <w:t>142 615</w:t>
            </w:r>
          </w:p>
        </w:tc>
        <w:tc>
          <w:tcPr>
            <w:tcW w:type="dxa" w:w="1728"/>
          </w:tcPr>
          <w:p>
            <w:r>
              <w:rPr>
                <w:sz w:val="17"/>
              </w:rPr>
            </w:r>
            <w:r>
              <w:rPr>
                <w:sz w:val="17"/>
              </w:rPr>
              <w:t>63,0</w:t>
            </w:r>
          </w:p>
        </w:tc>
        <w:tc>
          <w:tcPr>
            <w:tcW w:type="dxa" w:w="1728"/>
          </w:tcPr>
          <w:p>
            <w:r>
              <w:rPr>
                <w:sz w:val="17"/>
              </w:rPr>
            </w:r>
            <w:r>
              <w:rPr>
                <w:sz w:val="17"/>
              </w:rPr>
              <w:t>1 701</w:t>
            </w:r>
          </w:p>
        </w:tc>
      </w:tr>
      <w:tr>
        <w:tc>
          <w:tcPr>
            <w:tcW w:type="dxa" w:w="1728"/>
          </w:tcPr>
          <w:p>
            <w:r>
              <w:rPr>
                <w:sz w:val="17"/>
              </w:rPr>
            </w:r>
            <w:r>
              <w:rPr>
                <w:sz w:val="17"/>
              </w:rPr>
              <w:t>+1 an(s)</w:t>
            </w:r>
          </w:p>
        </w:tc>
        <w:tc>
          <w:tcPr>
            <w:tcW w:type="dxa" w:w="1728"/>
          </w:tcPr>
          <w:p>
            <w:r>
              <w:rPr>
                <w:sz w:val="17"/>
              </w:rPr>
            </w:r>
            <w:r>
              <w:rPr>
                <w:sz w:val="17"/>
              </w:rPr>
              <w:t>2029</w:t>
            </w:r>
          </w:p>
        </w:tc>
        <w:tc>
          <w:tcPr>
            <w:tcW w:type="dxa" w:w="1728"/>
          </w:tcPr>
          <w:p>
            <w:r>
              <w:rPr>
                <w:sz w:val="17"/>
              </w:rPr>
            </w:r>
            <w:r>
              <w:rPr>
                <w:sz w:val="17"/>
              </w:rPr>
              <w:t>126 422</w:t>
            </w:r>
          </w:p>
        </w:tc>
        <w:tc>
          <w:tcPr>
            <w:tcW w:type="dxa" w:w="1728"/>
          </w:tcPr>
          <w:p>
            <w:r>
              <w:rPr>
                <w:sz w:val="17"/>
              </w:rPr>
            </w:r>
            <w:r>
              <w:rPr>
                <w:sz w:val="17"/>
              </w:rPr>
              <w:t>46,4</w:t>
            </w:r>
          </w:p>
        </w:tc>
        <w:tc>
          <w:tcPr>
            <w:tcW w:type="dxa" w:w="1728"/>
          </w:tcPr>
          <w:p>
            <w:r>
              <w:rPr>
                <w:sz w:val="17"/>
              </w:rPr>
            </w:r>
            <w:r>
              <w:rPr>
                <w:sz w:val="17"/>
              </w:rPr>
              <w:t>3 438</w:t>
            </w:r>
          </w:p>
        </w:tc>
      </w:tr>
      <w:tr>
        <w:tc>
          <w:tcPr>
            <w:tcW w:type="dxa" w:w="1728"/>
          </w:tcPr>
          <w:p>
            <w:r>
              <w:rPr>
                <w:sz w:val="17"/>
              </w:rPr>
            </w:r>
            <w:r>
              <w:rPr>
                <w:sz w:val="17"/>
              </w:rPr>
              <w:t>+2 an(s)</w:t>
            </w:r>
          </w:p>
        </w:tc>
        <w:tc>
          <w:tcPr>
            <w:tcW w:type="dxa" w:w="1728"/>
          </w:tcPr>
          <w:p>
            <w:r>
              <w:rPr>
                <w:sz w:val="17"/>
              </w:rPr>
            </w:r>
            <w:r>
              <w:rPr>
                <w:sz w:val="17"/>
              </w:rPr>
              <w:t>2030</w:t>
            </w:r>
          </w:p>
        </w:tc>
        <w:tc>
          <w:tcPr>
            <w:tcW w:type="dxa" w:w="1728"/>
          </w:tcPr>
          <w:p>
            <w:r>
              <w:rPr>
                <w:sz w:val="17"/>
              </w:rPr>
            </w:r>
            <w:r>
              <w:rPr>
                <w:sz w:val="17"/>
              </w:rPr>
              <w:t>107 655</w:t>
            </w:r>
          </w:p>
        </w:tc>
        <w:tc>
          <w:tcPr>
            <w:tcW w:type="dxa" w:w="1728"/>
          </w:tcPr>
          <w:p>
            <w:r>
              <w:rPr>
                <w:sz w:val="17"/>
              </w:rPr>
            </w:r>
            <w:r>
              <w:rPr>
                <w:sz w:val="17"/>
              </w:rPr>
              <w:t>32,5</w:t>
            </w:r>
          </w:p>
        </w:tc>
        <w:tc>
          <w:tcPr>
            <w:tcW w:type="dxa" w:w="1728"/>
          </w:tcPr>
          <w:p>
            <w:r>
              <w:rPr>
                <w:sz w:val="17"/>
              </w:rPr>
            </w:r>
            <w:r>
              <w:rPr>
                <w:sz w:val="17"/>
              </w:rPr>
              <w:t>5 532</w:t>
            </w:r>
          </w:p>
        </w:tc>
      </w:tr>
      <w:tr>
        <w:tc>
          <w:tcPr>
            <w:tcW w:type="dxa" w:w="1728"/>
          </w:tcPr>
          <w:p>
            <w:r>
              <w:rPr>
                <w:sz w:val="17"/>
              </w:rPr>
            </w:r>
            <w:r>
              <w:rPr>
                <w:sz w:val="17"/>
              </w:rPr>
              <w:t>+3 an(s)</w:t>
            </w:r>
          </w:p>
        </w:tc>
        <w:tc>
          <w:tcPr>
            <w:tcW w:type="dxa" w:w="1728"/>
          </w:tcPr>
          <w:p>
            <w:r>
              <w:rPr>
                <w:sz w:val="17"/>
              </w:rPr>
            </w:r>
            <w:r>
              <w:rPr>
                <w:sz w:val="17"/>
              </w:rPr>
              <w:t>2031</w:t>
            </w:r>
          </w:p>
        </w:tc>
        <w:tc>
          <w:tcPr>
            <w:tcW w:type="dxa" w:w="1728"/>
          </w:tcPr>
          <w:p>
            <w:r>
              <w:rPr>
                <w:sz w:val="17"/>
              </w:rPr>
            </w:r>
            <w:r>
              <w:rPr>
                <w:sz w:val="17"/>
              </w:rPr>
              <w:t>87 988</w:t>
            </w:r>
          </w:p>
        </w:tc>
        <w:tc>
          <w:tcPr>
            <w:tcW w:type="dxa" w:w="1728"/>
          </w:tcPr>
          <w:p>
            <w:r>
              <w:rPr>
                <w:sz w:val="17"/>
              </w:rPr>
            </w:r>
            <w:r>
              <w:rPr>
                <w:sz w:val="17"/>
              </w:rPr>
              <w:t>21,1</w:t>
            </w:r>
          </w:p>
        </w:tc>
        <w:tc>
          <w:tcPr>
            <w:tcW w:type="dxa" w:w="1728"/>
          </w:tcPr>
          <w:p>
            <w:r>
              <w:rPr>
                <w:sz w:val="17"/>
              </w:rPr>
            </w:r>
            <w:r>
              <w:rPr>
                <w:sz w:val="17"/>
              </w:rPr>
              <w:t>9 126</w:t>
            </w:r>
          </w:p>
        </w:tc>
      </w:tr>
    </w:tbl>
    <w:p/>
    <w:p>
      <w:pPr>
        <w:jc w:val="both"/>
      </w:pPr>
      <w:r>
        <w:t>Chaque année de retard retire environ un quart de la valeur et augmente le besoin de trésorerie. Le tour annoncé suppose un lancement sans retard ; un décalage d’un an porte le besoin à 3 438 M ₽, un décalage de deux ans à 5 532 M ₽.</w:t>
      </w:r>
    </w:p>
    <w:p>
      <w:pPr>
        <w:pStyle w:val="Heading3"/>
      </w:pPr>
      <w:r>
        <w:t>7.4. Simulation</w:t>
      </w:r>
    </w:p>
    <w:p>
      <w:pPr>
        <w:jc w:val="both"/>
      </w:pPr>
      <w:r>
        <w:t>2000 itérations, générateur à graine fixe 20260907 — le calcul est reproductible. Sont variés : la part de marché de l’année 10 (loi triangulaire 7–25 %, mode 18 %), le taux d’actualisation (uniforme 27–33 %), l’écart des charges (uniforme de moins 10 % à plus 30 %), le retard de lancement (0/1/2/3 ans avec des probabilités de 40/30/20/10 %).</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Percentile</w:t>
            </w:r>
          </w:p>
        </w:tc>
        <w:tc>
          <w:tcPr>
            <w:tcW w:type="dxa" w:w="1080"/>
          </w:tcPr>
          <w:p>
            <w:r>
              <w:rPr>
                <w:b/>
                <w:sz w:val="17"/>
              </w:rPr>
            </w:r>
            <w:r>
              <w:rPr>
                <w:b/>
                <w:sz w:val="17"/>
              </w:rPr>
              <w:t>P5</w:t>
            </w:r>
          </w:p>
        </w:tc>
        <w:tc>
          <w:tcPr>
            <w:tcW w:type="dxa" w:w="1080"/>
          </w:tcPr>
          <w:p>
            <w:r>
              <w:rPr>
                <w:b/>
                <w:sz w:val="17"/>
              </w:rPr>
            </w:r>
            <w:r>
              <w:rPr>
                <w:b/>
                <w:sz w:val="17"/>
              </w:rPr>
              <w:t>P10</w:t>
            </w:r>
          </w:p>
        </w:tc>
        <w:tc>
          <w:tcPr>
            <w:tcW w:type="dxa" w:w="1080"/>
          </w:tcPr>
          <w:p>
            <w:r>
              <w:rPr>
                <w:b/>
                <w:sz w:val="17"/>
              </w:rPr>
            </w:r>
            <w:r>
              <w:rPr>
                <w:b/>
                <w:sz w:val="17"/>
              </w:rPr>
              <w:t>P25</w:t>
            </w:r>
          </w:p>
        </w:tc>
        <w:tc>
          <w:tcPr>
            <w:tcW w:type="dxa" w:w="1080"/>
          </w:tcPr>
          <w:p>
            <w:r>
              <w:rPr>
                <w:b/>
                <w:sz w:val="17"/>
              </w:rPr>
            </w:r>
            <w:r>
              <w:rPr>
                <w:b/>
                <w:sz w:val="17"/>
              </w:rPr>
              <w:t>Médiane</w:t>
            </w:r>
          </w:p>
        </w:tc>
        <w:tc>
          <w:tcPr>
            <w:tcW w:type="dxa" w:w="1080"/>
          </w:tcPr>
          <w:p>
            <w:r>
              <w:rPr>
                <w:b/>
                <w:sz w:val="17"/>
              </w:rPr>
            </w:r>
            <w:r>
              <w:rPr>
                <w:b/>
                <w:sz w:val="17"/>
              </w:rPr>
              <w:t>P75</w:t>
            </w:r>
          </w:p>
        </w:tc>
        <w:tc>
          <w:tcPr>
            <w:tcW w:type="dxa" w:w="1080"/>
          </w:tcPr>
          <w:p>
            <w:r>
              <w:rPr>
                <w:b/>
                <w:sz w:val="17"/>
              </w:rPr>
            </w:r>
            <w:r>
              <w:rPr>
                <w:b/>
                <w:sz w:val="17"/>
              </w:rPr>
              <w:t>P90</w:t>
            </w:r>
          </w:p>
        </w:tc>
        <w:tc>
          <w:tcPr>
            <w:tcW w:type="dxa" w:w="1080"/>
          </w:tcPr>
          <w:p>
            <w:r>
              <w:rPr>
                <w:b/>
                <w:sz w:val="17"/>
              </w:rPr>
            </w:r>
            <w:r>
              <w:rPr>
                <w:b/>
                <w:sz w:val="17"/>
              </w:rPr>
              <w:t>P95</w:t>
            </w:r>
          </w:p>
        </w:tc>
      </w:tr>
      <w:tr>
        <w:tc>
          <w:tcPr>
            <w:tcW w:type="dxa" w:w="1080"/>
          </w:tcPr>
          <w:p>
            <w:r>
              <w:rPr>
                <w:sz w:val="17"/>
              </w:rPr>
            </w:r>
            <w:r>
              <w:rPr>
                <w:sz w:val="17"/>
              </w:rPr>
              <w:t>Valeur d’entreprise, Md ₽</w:t>
            </w:r>
          </w:p>
        </w:tc>
        <w:tc>
          <w:tcPr>
            <w:tcW w:type="dxa" w:w="1080"/>
          </w:tcPr>
          <w:p>
            <w:r>
              <w:rPr>
                <w:sz w:val="17"/>
              </w:rPr>
            </w:r>
            <w:r>
              <w:rPr>
                <w:sz w:val="17"/>
              </w:rPr>
              <w:t>14,7</w:t>
            </w:r>
          </w:p>
        </w:tc>
        <w:tc>
          <w:tcPr>
            <w:tcW w:type="dxa" w:w="1080"/>
          </w:tcPr>
          <w:p>
            <w:r>
              <w:rPr>
                <w:sz w:val="17"/>
              </w:rPr>
            </w:r>
            <w:r>
              <w:rPr>
                <w:sz w:val="17"/>
              </w:rPr>
              <w:t>18,5</w:t>
            </w:r>
          </w:p>
        </w:tc>
        <w:tc>
          <w:tcPr>
            <w:tcW w:type="dxa" w:w="1080"/>
          </w:tcPr>
          <w:p>
            <w:r>
              <w:rPr>
                <w:sz w:val="17"/>
              </w:rPr>
            </w:r>
            <w:r>
              <w:rPr>
                <w:sz w:val="17"/>
              </w:rPr>
              <w:t>26,8</w:t>
            </w:r>
          </w:p>
        </w:tc>
        <w:tc>
          <w:tcPr>
            <w:tcW w:type="dxa" w:w="1080"/>
          </w:tcPr>
          <w:p>
            <w:r>
              <w:rPr>
                <w:sz w:val="17"/>
              </w:rPr>
            </w:r>
            <w:r>
              <w:rPr>
                <w:sz w:val="17"/>
              </w:rPr>
              <w:t>39,2</w:t>
            </w:r>
          </w:p>
        </w:tc>
        <w:tc>
          <w:tcPr>
            <w:tcW w:type="dxa" w:w="1080"/>
          </w:tcPr>
          <w:p>
            <w:r>
              <w:rPr>
                <w:sz w:val="17"/>
              </w:rPr>
            </w:r>
            <w:r>
              <w:rPr>
                <w:sz w:val="17"/>
              </w:rPr>
              <w:t>52,9</w:t>
            </w:r>
          </w:p>
        </w:tc>
        <w:tc>
          <w:tcPr>
            <w:tcW w:type="dxa" w:w="1080"/>
          </w:tcPr>
          <w:p>
            <w:r>
              <w:rPr>
                <w:sz w:val="17"/>
              </w:rPr>
            </w:r>
            <w:r>
              <w:rPr>
                <w:sz w:val="17"/>
              </w:rPr>
              <w:t>65,8</w:t>
            </w:r>
          </w:p>
        </w:tc>
        <w:tc>
          <w:tcPr>
            <w:tcW w:type="dxa" w:w="1080"/>
          </w:tcPr>
          <w:p>
            <w:r>
              <w:rPr>
                <w:sz w:val="17"/>
              </w:rPr>
            </w:r>
            <w:r>
              <w:rPr>
                <w:sz w:val="17"/>
              </w:rPr>
              <w:t>73,5</w:t>
            </w:r>
          </w:p>
        </w:tc>
      </w:tr>
    </w:tbl>
    <w:p/>
    <w:p>
      <w:pPr>
        <w:jc w:val="both"/>
      </w:pPr>
      <w:r>
        <w:t>Probabilité d’une valeur supérieure à 50 Md ₽ — 29,6 %. Probabilité d’une valeur négative — 0,0 %.</w:t>
      </w:r>
    </w:p>
    <w:p>
      <w:pPr>
        <w:ind w:left="360"/>
      </w:pPr>
      <w:r>
        <w:rPr>
          <w:i/>
          <w:color w:val="444444"/>
        </w:rPr>
        <w:t>La médiane de la simulation (39,2 Md ₽) est nettement inférieure au scénario de base (63,0 Md ₽). Ce n’est pas une erreur : le scénario de base suppose un lancement sans retard, tandis que la simulation tient compte de la probabilité d’un retard. L’écart entre le scénario de base et la médiane de la simulation est le prix du risque de calendrier.</w:t>
      </w:r>
    </w:p>
    <w:p>
      <w:pPr>
        <w:pStyle w:val="Heading2"/>
      </w:pPr>
      <w:r>
        <w:t>Feuille 8. Calcul pour l’investisseur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Paramètre</w:t>
            </w:r>
          </w:p>
        </w:tc>
        <w:tc>
          <w:tcPr>
            <w:tcW w:type="dxa" w:w="4320"/>
          </w:tcPr>
          <w:p>
            <w:r>
              <w:rPr>
                <w:b/>
                <w:sz w:val="17"/>
              </w:rPr>
            </w:r>
            <w:r>
              <w:rPr>
                <w:b/>
                <w:sz w:val="17"/>
              </w:rPr>
              <w:t>Valeur</w:t>
            </w:r>
          </w:p>
        </w:tc>
      </w:tr>
      <w:tr>
        <w:tc>
          <w:tcPr>
            <w:tcW w:type="dxa" w:w="4320"/>
          </w:tcPr>
          <w:p>
            <w:r>
              <w:rPr>
                <w:sz w:val="17"/>
              </w:rPr>
            </w:r>
            <w:r>
              <w:rPr>
                <w:sz w:val="17"/>
              </w:rPr>
              <w:t>Investissement</w:t>
            </w:r>
          </w:p>
        </w:tc>
        <w:tc>
          <w:tcPr>
            <w:tcW w:type="dxa" w:w="4320"/>
          </w:tcPr>
          <w:p>
            <w:r>
              <w:rPr>
                <w:sz w:val="17"/>
              </w:rPr>
            </w:r>
            <w:r>
              <w:rPr>
                <w:sz w:val="17"/>
              </w:rPr>
              <w:t>1 800</w:t>
            </w:r>
          </w:p>
        </w:tc>
      </w:tr>
      <w:tr>
        <w:tc>
          <w:tcPr>
            <w:tcW w:type="dxa" w:w="4320"/>
          </w:tcPr>
          <w:p>
            <w:r>
              <w:rPr>
                <w:sz w:val="17"/>
              </w:rPr>
            </w:r>
            <w:r>
              <w:rPr>
                <w:sz w:val="17"/>
              </w:rPr>
              <w:t>Participation au capital</w:t>
            </w:r>
          </w:p>
        </w:tc>
        <w:tc>
          <w:tcPr>
            <w:tcW w:type="dxa" w:w="4320"/>
          </w:tcPr>
          <w:p>
            <w:r>
              <w:rPr>
                <w:sz w:val="17"/>
              </w:rPr>
            </w:r>
            <w:r>
              <w:rPr>
                <w:sz w:val="17"/>
              </w:rPr>
              <w:t>9,21 %</w:t>
            </w:r>
          </w:p>
        </w:tc>
      </w:tr>
      <w:tr>
        <w:tc>
          <w:tcPr>
            <w:tcW w:type="dxa" w:w="4320"/>
          </w:tcPr>
          <w:p>
            <w:r>
              <w:rPr>
                <w:sz w:val="17"/>
              </w:rPr>
            </w:r>
            <w:r>
              <w:rPr>
                <w:sz w:val="17"/>
              </w:rPr>
              <w:t>Horizon de détention</w:t>
            </w:r>
          </w:p>
        </w:tc>
        <w:tc>
          <w:tcPr>
            <w:tcW w:type="dxa" w:w="4320"/>
          </w:tcPr>
          <w:p>
            <w:r>
              <w:rPr>
                <w:sz w:val="17"/>
              </w:rPr>
            </w:r>
            <w:r>
              <w:rPr>
                <w:sz w:val="17"/>
              </w:rPr>
              <w:t>7 ans, sortie en 2033</w:t>
            </w:r>
          </w:p>
        </w:tc>
      </w:tr>
      <w:tr>
        <w:tc>
          <w:tcPr>
            <w:tcW w:type="dxa" w:w="4320"/>
          </w:tcPr>
          <w:p>
            <w:r>
              <w:rPr>
                <w:sz w:val="17"/>
              </w:rPr>
            </w:r>
            <w:r>
              <w:rPr>
                <w:sz w:val="17"/>
              </w:rPr>
              <w:t>Valeur d’entreprise à la sortie</w:t>
            </w:r>
          </w:p>
        </w:tc>
        <w:tc>
          <w:tcPr>
            <w:tcW w:type="dxa" w:w="4320"/>
          </w:tcPr>
          <w:p>
            <w:r>
              <w:rPr>
                <w:sz w:val="17"/>
              </w:rPr>
            </w:r>
            <w:r>
              <w:rPr>
                <w:sz w:val="17"/>
              </w:rPr>
              <w:t>261 907</w:t>
            </w:r>
          </w:p>
        </w:tc>
      </w:tr>
      <w:tr>
        <w:tc>
          <w:tcPr>
            <w:tcW w:type="dxa" w:w="4320"/>
          </w:tcPr>
          <w:p>
            <w:r>
              <w:rPr>
                <w:sz w:val="17"/>
              </w:rPr>
            </w:r>
            <w:r>
              <w:rPr>
                <w:sz w:val="17"/>
              </w:rPr>
              <w:t>Trésorerie accumulée</w:t>
            </w:r>
          </w:p>
        </w:tc>
        <w:tc>
          <w:tcPr>
            <w:tcW w:type="dxa" w:w="4320"/>
          </w:tcPr>
          <w:p>
            <w:r>
              <w:rPr>
                <w:sz w:val="17"/>
              </w:rPr>
            </w:r>
            <w:r>
              <w:rPr>
                <w:sz w:val="17"/>
              </w:rPr>
              <w:t>97 337</w:t>
            </w:r>
          </w:p>
        </w:tc>
      </w:tr>
      <w:tr>
        <w:tc>
          <w:tcPr>
            <w:tcW w:type="dxa" w:w="4320"/>
          </w:tcPr>
          <w:p>
            <w:r>
              <w:rPr>
                <w:sz w:val="17"/>
              </w:rPr>
            </w:r>
            <w:r>
              <w:rPr>
                <w:sz w:val="17"/>
              </w:rPr>
              <w:t>Valeur des capitaux propres à la sortie</w:t>
            </w:r>
          </w:p>
        </w:tc>
        <w:tc>
          <w:tcPr>
            <w:tcW w:type="dxa" w:w="4320"/>
          </w:tcPr>
          <w:p>
            <w:r>
              <w:rPr>
                <w:sz w:val="17"/>
              </w:rPr>
            </w:r>
            <w:r>
              <w:rPr>
                <w:sz w:val="17"/>
              </w:rPr>
              <w:t>359 244</w:t>
            </w:r>
          </w:p>
        </w:tc>
      </w:tr>
      <w:tr>
        <w:tc>
          <w:tcPr>
            <w:tcW w:type="dxa" w:w="4320"/>
          </w:tcPr>
          <w:p>
            <w:r>
              <w:rPr>
                <w:sz w:val="17"/>
              </w:rPr>
            </w:r>
            <w:r>
              <w:rPr>
                <w:sz w:val="17"/>
              </w:rPr>
              <w:t>Produit pour l’investisseur</w:t>
            </w:r>
          </w:p>
        </w:tc>
        <w:tc>
          <w:tcPr>
            <w:tcW w:type="dxa" w:w="4320"/>
          </w:tcPr>
          <w:p>
            <w:r>
              <w:rPr>
                <w:sz w:val="17"/>
              </w:rPr>
            </w:r>
            <w:r>
              <w:rPr>
                <w:sz w:val="17"/>
              </w:rPr>
              <w:t>33 094</w:t>
            </w:r>
          </w:p>
        </w:tc>
      </w:tr>
      <w:tr>
        <w:tc>
          <w:tcPr>
            <w:tcW w:type="dxa" w:w="4320"/>
          </w:tcPr>
          <w:p>
            <w:r>
              <w:rPr>
                <w:sz w:val="17"/>
              </w:rPr>
            </w:r>
            <w:r>
              <w:rPr>
                <w:b/>
                <w:sz w:val="17"/>
              </w:rPr>
              <w:t>Multiple de retour</w:t>
            </w:r>
          </w:p>
        </w:tc>
        <w:tc>
          <w:tcPr>
            <w:tcW w:type="dxa" w:w="4320"/>
          </w:tcPr>
          <w:p>
            <w:r>
              <w:rPr>
                <w:sz w:val="17"/>
              </w:rPr>
            </w:r>
            <w:r>
              <w:rPr>
                <w:b/>
                <w:sz w:val="17"/>
              </w:rPr>
              <w:t>18,4×</w:t>
            </w:r>
          </w:p>
        </w:tc>
      </w:tr>
      <w:tr>
        <w:tc>
          <w:tcPr>
            <w:tcW w:type="dxa" w:w="4320"/>
          </w:tcPr>
          <w:p>
            <w:r>
              <w:rPr>
                <w:sz w:val="17"/>
              </w:rPr>
            </w:r>
            <w:r>
              <w:rPr>
                <w:b/>
                <w:sz w:val="17"/>
              </w:rPr>
              <w:t>Taux de rendement interne de l’investisseur</w:t>
            </w:r>
          </w:p>
        </w:tc>
        <w:tc>
          <w:tcPr>
            <w:tcW w:type="dxa" w:w="4320"/>
          </w:tcPr>
          <w:p>
            <w:r>
              <w:rPr>
                <w:sz w:val="17"/>
              </w:rPr>
            </w:r>
            <w:r>
              <w:rPr>
                <w:b/>
                <w:sz w:val="17"/>
              </w:rPr>
              <w:t>51,6 %</w:t>
            </w:r>
          </w:p>
        </w:tc>
      </w:tr>
    </w:tbl>
    <w:p/>
    <w:p>
      <w:pPr>
        <w:jc w:val="both"/>
      </w:pPr>
      <w:r>
        <w:t>Le calcul suppose que le plan est intégralement réalisé, qu’aucun dividende n’a été versé et que les fonds accumulés restent dans la société. C’est une borne haute, non une espérance : le prix du risque de non-réalisation est intégré dans la décote de stade appliquée à la détermination de la valeur d’entrée (feuille 9).</w:t>
      </w:r>
    </w:p>
    <w:p>
      <w:pPr>
        <w:pStyle w:val="Heading2"/>
      </w:pPr>
      <w:r>
        <w:t>Feuille 9. Valeur d’entrée (pre-money)</w:t>
      </w:r>
    </w:p>
    <w:p>
      <w:pPr>
        <w:jc w:val="both"/>
      </w:pPr>
      <w:r>
        <w:t xml:space="preserve">Synthèse de quatre approches. La décote de stade de 60 % est appliquée </w:t>
      </w:r>
      <w:r>
        <w:rPr>
          <w:b/>
        </w:rPr>
        <w:t>une seule fois</w:t>
      </w:r>
      <w:r>
        <w:t>, et uniquement aux approches qui donnent la valeur d’une entreprise mature. Les approches de Berkus et de coût de remplacement évaluent le projet en l’état et ne sont pas décotées de nouveau.</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Approche</w:t>
            </w:r>
          </w:p>
        </w:tc>
        <w:tc>
          <w:tcPr>
            <w:tcW w:type="dxa" w:w="1440"/>
          </w:tcPr>
          <w:p>
            <w:r>
              <w:rPr>
                <w:b/>
                <w:sz w:val="17"/>
              </w:rPr>
            </w:r>
            <w:r>
              <w:rPr>
                <w:b/>
                <w:sz w:val="17"/>
              </w:rPr>
              <w:t>Avant décote, M$</w:t>
            </w:r>
          </w:p>
        </w:tc>
        <w:tc>
          <w:tcPr>
            <w:tcW w:type="dxa" w:w="1440"/>
          </w:tcPr>
          <w:p>
            <w:r>
              <w:rPr>
                <w:b/>
                <w:sz w:val="17"/>
              </w:rPr>
            </w:r>
            <w:r>
              <w:rPr>
                <w:b/>
                <w:sz w:val="17"/>
              </w:rPr>
              <w:t>Décote de stade</w:t>
            </w:r>
          </w:p>
        </w:tc>
        <w:tc>
          <w:tcPr>
            <w:tcW w:type="dxa" w:w="1440"/>
          </w:tcPr>
          <w:p>
            <w:r>
              <w:rPr>
                <w:b/>
                <w:sz w:val="17"/>
              </w:rPr>
            </w:r>
            <w:r>
              <w:rPr>
                <w:b/>
                <w:sz w:val="17"/>
              </w:rPr>
              <w:t>Après décote, M$</w:t>
            </w:r>
          </w:p>
        </w:tc>
        <w:tc>
          <w:tcPr>
            <w:tcW w:type="dxa" w:w="1440"/>
          </w:tcPr>
          <w:p>
            <w:r>
              <w:rPr>
                <w:b/>
                <w:sz w:val="17"/>
              </w:rPr>
            </w:r>
            <w:r>
              <w:rPr>
                <w:b/>
                <w:sz w:val="17"/>
              </w:rPr>
              <w:t>Poids</w:t>
            </w:r>
          </w:p>
        </w:tc>
        <w:tc>
          <w:tcPr>
            <w:tcW w:type="dxa" w:w="1440"/>
          </w:tcPr>
          <w:p>
            <w:r>
              <w:rPr>
                <w:b/>
                <w:sz w:val="17"/>
              </w:rPr>
            </w:r>
            <w:r>
              <w:rPr>
                <w:b/>
                <w:sz w:val="17"/>
              </w:rPr>
              <w:t>Contribution, M$</w:t>
            </w:r>
          </w:p>
        </w:tc>
      </w:tr>
      <w:tr>
        <w:tc>
          <w:tcPr>
            <w:tcW w:type="dxa" w:w="1440"/>
          </w:tcPr>
          <w:p>
            <w:r>
              <w:rPr>
                <w:sz w:val="17"/>
              </w:rPr>
            </w:r>
            <w:r>
              <w:rPr>
                <w:sz w:val="17"/>
              </w:rPr>
              <w:t>Revenus (DCF)</w:t>
            </w:r>
          </w:p>
        </w:tc>
        <w:tc>
          <w:tcPr>
            <w:tcW w:type="dxa" w:w="1440"/>
          </w:tcPr>
          <w:p>
            <w:r>
              <w:rPr>
                <w:sz w:val="17"/>
              </w:rPr>
            </w:r>
            <w:r>
              <w:rPr>
                <w:sz w:val="17"/>
              </w:rPr>
              <w:t>880</w:t>
            </w:r>
          </w:p>
        </w:tc>
        <w:tc>
          <w:tcPr>
            <w:tcW w:type="dxa" w:w="1440"/>
          </w:tcPr>
          <w:p>
            <w:r>
              <w:rPr>
                <w:sz w:val="17"/>
              </w:rPr>
            </w:r>
            <w:r>
              <w:rPr>
                <w:sz w:val="17"/>
              </w:rPr>
              <w:t>appliquée</w:t>
            </w:r>
          </w:p>
        </w:tc>
        <w:tc>
          <w:tcPr>
            <w:tcW w:type="dxa" w:w="1440"/>
          </w:tcPr>
          <w:p>
            <w:r>
              <w:rPr>
                <w:sz w:val="17"/>
              </w:rPr>
            </w:r>
            <w:r>
              <w:rPr>
                <w:sz w:val="17"/>
              </w:rPr>
              <w:t>352</w:t>
            </w:r>
          </w:p>
        </w:tc>
        <w:tc>
          <w:tcPr>
            <w:tcW w:type="dxa" w:w="1440"/>
          </w:tcPr>
          <w:p>
            <w:r>
              <w:rPr>
                <w:sz w:val="17"/>
              </w:rPr>
            </w:r>
            <w:r>
              <w:rPr>
                <w:sz w:val="17"/>
              </w:rPr>
              <w:t>35 %</w:t>
            </w:r>
          </w:p>
        </w:tc>
        <w:tc>
          <w:tcPr>
            <w:tcW w:type="dxa" w:w="1440"/>
          </w:tcPr>
          <w:p>
            <w:r>
              <w:rPr>
                <w:sz w:val="17"/>
              </w:rPr>
            </w:r>
            <w:r>
              <w:rPr>
                <w:sz w:val="17"/>
              </w:rPr>
              <w:t>123,2</w:t>
            </w:r>
          </w:p>
        </w:tc>
      </w:tr>
      <w:tr>
        <w:tc>
          <w:tcPr>
            <w:tcW w:type="dxa" w:w="1440"/>
          </w:tcPr>
          <w:p>
            <w:r>
              <w:rPr>
                <w:sz w:val="17"/>
              </w:rPr>
            </w:r>
            <w:r>
              <w:rPr>
                <w:sz w:val="17"/>
              </w:rPr>
              <w:t>Marché (multiples)</w:t>
            </w:r>
          </w:p>
        </w:tc>
        <w:tc>
          <w:tcPr>
            <w:tcW w:type="dxa" w:w="1440"/>
          </w:tcPr>
          <w:p>
            <w:r>
              <w:rPr>
                <w:sz w:val="17"/>
              </w:rPr>
            </w:r>
            <w:r>
              <w:rPr>
                <w:sz w:val="17"/>
              </w:rPr>
              <w:t>380</w:t>
            </w:r>
          </w:p>
        </w:tc>
        <w:tc>
          <w:tcPr>
            <w:tcW w:type="dxa" w:w="1440"/>
          </w:tcPr>
          <w:p>
            <w:r>
              <w:rPr>
                <w:sz w:val="17"/>
              </w:rPr>
            </w:r>
            <w:r>
              <w:rPr>
                <w:sz w:val="17"/>
              </w:rPr>
              <w:t>non appliquée</w:t>
            </w:r>
          </w:p>
        </w:tc>
        <w:tc>
          <w:tcPr>
            <w:tcW w:type="dxa" w:w="1440"/>
          </w:tcPr>
          <w:p>
            <w:r>
              <w:rPr>
                <w:sz w:val="17"/>
              </w:rPr>
            </w:r>
            <w:r>
              <w:rPr>
                <w:sz w:val="17"/>
              </w:rPr>
              <w:t>380</w:t>
            </w:r>
          </w:p>
        </w:tc>
        <w:tc>
          <w:tcPr>
            <w:tcW w:type="dxa" w:w="1440"/>
          </w:tcPr>
          <w:p>
            <w:r>
              <w:rPr>
                <w:sz w:val="17"/>
              </w:rPr>
            </w:r>
            <w:r>
              <w:rPr>
                <w:sz w:val="17"/>
              </w:rPr>
              <w:t>30 %</w:t>
            </w:r>
          </w:p>
        </w:tc>
        <w:tc>
          <w:tcPr>
            <w:tcW w:type="dxa" w:w="1440"/>
          </w:tcPr>
          <w:p>
            <w:r>
              <w:rPr>
                <w:sz w:val="17"/>
              </w:rPr>
            </w:r>
            <w:r>
              <w:rPr>
                <w:sz w:val="17"/>
              </w:rPr>
              <w:t>114,0</w:t>
            </w:r>
          </w:p>
        </w:tc>
      </w:tr>
      <w:tr>
        <w:tc>
          <w:tcPr>
            <w:tcW w:type="dxa" w:w="1440"/>
          </w:tcPr>
          <w:p>
            <w:r>
              <w:rPr>
                <w:sz w:val="17"/>
              </w:rPr>
            </w:r>
            <w:r>
              <w:rPr>
                <w:sz w:val="17"/>
              </w:rPr>
              <w:t>Berkus ajusté du risque</w:t>
            </w:r>
          </w:p>
        </w:tc>
        <w:tc>
          <w:tcPr>
            <w:tcW w:type="dxa" w:w="1440"/>
          </w:tcPr>
          <w:p>
            <w:r>
              <w:rPr>
                <w:sz w:val="17"/>
              </w:rPr>
            </w:r>
            <w:r>
              <w:rPr>
                <w:sz w:val="17"/>
              </w:rPr>
              <w:t>35</w:t>
            </w:r>
          </w:p>
        </w:tc>
        <w:tc>
          <w:tcPr>
            <w:tcW w:type="dxa" w:w="1440"/>
          </w:tcPr>
          <w:p>
            <w:r>
              <w:rPr>
                <w:sz w:val="17"/>
              </w:rPr>
            </w:r>
            <w:r>
              <w:rPr>
                <w:sz w:val="17"/>
              </w:rPr>
              <w:t>non appliquée</w:t>
            </w:r>
          </w:p>
        </w:tc>
        <w:tc>
          <w:tcPr>
            <w:tcW w:type="dxa" w:w="1440"/>
          </w:tcPr>
          <w:p>
            <w:r>
              <w:rPr>
                <w:sz w:val="17"/>
              </w:rPr>
            </w:r>
            <w:r>
              <w:rPr>
                <w:sz w:val="17"/>
              </w:rPr>
              <w:t>35</w:t>
            </w:r>
          </w:p>
        </w:tc>
        <w:tc>
          <w:tcPr>
            <w:tcW w:type="dxa" w:w="1440"/>
          </w:tcPr>
          <w:p>
            <w:r>
              <w:rPr>
                <w:sz w:val="17"/>
              </w:rPr>
            </w:r>
            <w:r>
              <w:rPr>
                <w:sz w:val="17"/>
              </w:rPr>
              <w:t>25 %</w:t>
            </w:r>
          </w:p>
        </w:tc>
        <w:tc>
          <w:tcPr>
            <w:tcW w:type="dxa" w:w="1440"/>
          </w:tcPr>
          <w:p>
            <w:r>
              <w:rPr>
                <w:sz w:val="17"/>
              </w:rPr>
            </w:r>
            <w:r>
              <w:rPr>
                <w:sz w:val="17"/>
              </w:rPr>
              <w:t>8,8</w:t>
            </w:r>
          </w:p>
        </w:tc>
      </w:tr>
      <w:tr>
        <w:tc>
          <w:tcPr>
            <w:tcW w:type="dxa" w:w="1440"/>
          </w:tcPr>
          <w:p>
            <w:r>
              <w:rPr>
                <w:sz w:val="17"/>
              </w:rPr>
            </w:r>
            <w:r>
              <w:rPr>
                <w:sz w:val="17"/>
              </w:rPr>
              <w:t>Coût (valeur de remplacement)</w:t>
            </w:r>
          </w:p>
        </w:tc>
        <w:tc>
          <w:tcPr>
            <w:tcW w:type="dxa" w:w="1440"/>
          </w:tcPr>
          <w:p>
            <w:r>
              <w:rPr>
                <w:sz w:val="17"/>
              </w:rPr>
            </w:r>
            <w:r>
              <w:rPr>
                <w:sz w:val="17"/>
              </w:rPr>
              <w:t>20</w:t>
            </w:r>
          </w:p>
        </w:tc>
        <w:tc>
          <w:tcPr>
            <w:tcW w:type="dxa" w:w="1440"/>
          </w:tcPr>
          <w:p>
            <w:r>
              <w:rPr>
                <w:sz w:val="17"/>
              </w:rPr>
            </w:r>
            <w:r>
              <w:rPr>
                <w:sz w:val="17"/>
              </w:rPr>
              <w:t>non appliquée</w:t>
            </w:r>
          </w:p>
        </w:tc>
        <w:tc>
          <w:tcPr>
            <w:tcW w:type="dxa" w:w="1440"/>
          </w:tcPr>
          <w:p>
            <w:r>
              <w:rPr>
                <w:sz w:val="17"/>
              </w:rPr>
            </w:r>
            <w:r>
              <w:rPr>
                <w:sz w:val="17"/>
              </w:rPr>
              <w:t>20</w:t>
            </w:r>
          </w:p>
        </w:tc>
        <w:tc>
          <w:tcPr>
            <w:tcW w:type="dxa" w:w="1440"/>
          </w:tcPr>
          <w:p>
            <w:r>
              <w:rPr>
                <w:sz w:val="17"/>
              </w:rPr>
            </w:r>
            <w:r>
              <w:rPr>
                <w:sz w:val="17"/>
              </w:rPr>
              <w:t>10 %</w:t>
            </w:r>
          </w:p>
        </w:tc>
        <w:tc>
          <w:tcPr>
            <w:tcW w:type="dxa" w:w="1440"/>
          </w:tcPr>
          <w:p>
            <w:r>
              <w:rPr>
                <w:sz w:val="17"/>
              </w:rPr>
            </w:r>
            <w:r>
              <w:rPr>
                <w:sz w:val="17"/>
              </w:rPr>
              <w:t>2,0</w:t>
            </w:r>
          </w:p>
        </w:tc>
      </w:tr>
      <w:tr>
        <w:tc>
          <w:tcPr>
            <w:tcW w:type="dxa" w:w="1440"/>
          </w:tcPr>
          <w:p>
            <w:r>
              <w:rPr>
                <w:sz w:val="17"/>
              </w:rPr>
            </w:r>
            <w:r>
              <w:rPr>
                <w:b/>
                <w:sz w:val="17"/>
              </w:rPr>
              <w:t>Valeur d’entrée (pre-money)</w:t>
            </w:r>
          </w:p>
        </w:tc>
        <w:tc>
          <w:tcPr>
            <w:tcW w:type="dxa" w:w="1440"/>
          </w:tcPr>
          <w:p>
            <w:r>
              <w:rPr>
                <w:sz w:val="17"/>
              </w:rPr>
            </w:r>
          </w:p>
        </w:tc>
        <w:tc>
          <w:tcPr>
            <w:tcW w:type="dxa" w:w="1440"/>
          </w:tcPr>
          <w:p>
            <w:r>
              <w:rPr>
                <w:sz w:val="17"/>
              </w:rPr>
            </w:r>
          </w:p>
        </w:tc>
        <w:tc>
          <w:tcPr>
            <w:tcW w:type="dxa" w:w="1440"/>
          </w:tcPr>
          <w:p>
            <w:r>
              <w:rPr>
                <w:sz w:val="17"/>
              </w:rPr>
            </w:r>
          </w:p>
        </w:tc>
        <w:tc>
          <w:tcPr>
            <w:tcW w:type="dxa" w:w="1440"/>
          </w:tcPr>
          <w:p>
            <w:r>
              <w:rPr>
                <w:sz w:val="17"/>
              </w:rPr>
            </w:r>
          </w:p>
        </w:tc>
        <w:tc>
          <w:tcPr>
            <w:tcW w:type="dxa" w:w="1440"/>
          </w:tcPr>
          <w:p>
            <w:r>
              <w:rPr>
                <w:sz w:val="17"/>
              </w:rPr>
            </w:r>
            <w:r>
              <w:rPr>
                <w:b/>
                <w:sz w:val="17"/>
              </w:rPr>
              <w:t>248</w:t>
            </w:r>
          </w:p>
        </w:tc>
      </w:tr>
    </w:tbl>
    <w:p/>
    <w:p>
      <w:pPr>
        <w:jc w:val="both"/>
      </w:pPr>
      <w:r>
        <w:rPr>
          <w:b/>
        </w:rPr>
        <w:t>Pre-money ≈ 248 M$ ≈ 17,74 Md ₽</w:t>
      </w:r>
      <w:r>
        <w:t xml:space="preserve"> au cours de 71,55 ₽/$.</w:t>
      </w:r>
    </w:p>
    <w:p>
      <w:pPr>
        <w:ind w:left="360"/>
      </w:pPr>
      <w:r>
        <w:rPr>
          <w:b/>
          <w:i/>
          <w:color w:val="444444"/>
        </w:rPr>
        <w:t>L’écart entre les approches est de un à douze</w:t>
      </w:r>
      <w:r>
        <w:rPr>
          <w:i/>
          <w:color w:val="444444"/>
        </w:rPr>
        <w:t xml:space="preserve"> — de 20 M$ pour l’approche par les coûts à 352 M$ pour l’approche par les revenus. Un tel écart signifie que la moyenne pondérée est elle-même peu informative : 65 % du poids repose sur des approches qui valorisent une entreprise déjà en activité, tandis que les approches conçues pour un stade précoce donnent un ordre de grandeur inférieur. Conclusion pratique : la fourchette de négociation doit être construite à partir des approches de stade précoce, l’approche par les revenus servant d’argument sur le potentiel et non de prix. La décision sur le prix d’entrée appartient au propriétaire du projet.</w:t>
      </w:r>
    </w:p>
    <w:p>
      <w:pPr>
        <w:pStyle w:val="Heading3"/>
      </w:pPr>
      <w:r>
        <w:t>Structure du tour à cette valorisation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Paramètre</w:t>
            </w:r>
          </w:p>
        </w:tc>
        <w:tc>
          <w:tcPr>
            <w:tcW w:type="dxa" w:w="4320"/>
          </w:tcPr>
          <w:p>
            <w:r>
              <w:rPr>
                <w:b/>
                <w:sz w:val="17"/>
              </w:rPr>
            </w:r>
            <w:r>
              <w:rPr>
                <w:b/>
                <w:sz w:val="17"/>
              </w:rPr>
              <w:t>Valeur</w:t>
            </w:r>
          </w:p>
        </w:tc>
      </w:tr>
      <w:tr>
        <w:tc>
          <w:tcPr>
            <w:tcW w:type="dxa" w:w="4320"/>
          </w:tcPr>
          <w:p>
            <w:r>
              <w:rPr>
                <w:sz w:val="17"/>
              </w:rPr>
            </w:r>
            <w:r>
              <w:rPr>
                <w:sz w:val="17"/>
              </w:rPr>
              <w:t>Pre-money</w:t>
            </w:r>
          </w:p>
        </w:tc>
        <w:tc>
          <w:tcPr>
            <w:tcW w:type="dxa" w:w="4320"/>
          </w:tcPr>
          <w:p>
            <w:r>
              <w:rPr>
                <w:sz w:val="17"/>
              </w:rPr>
            </w:r>
            <w:r>
              <w:rPr>
                <w:sz w:val="17"/>
              </w:rPr>
              <w:t>$248 · 17,74</w:t>
            </w:r>
          </w:p>
        </w:tc>
      </w:tr>
      <w:tr>
        <w:tc>
          <w:tcPr>
            <w:tcW w:type="dxa" w:w="4320"/>
          </w:tcPr>
          <w:p>
            <w:r>
              <w:rPr>
                <w:sz w:val="17"/>
              </w:rPr>
            </w:r>
            <w:r>
              <w:rPr>
                <w:sz w:val="17"/>
              </w:rPr>
              <w:t>Tour</w:t>
            </w:r>
          </w:p>
        </w:tc>
        <w:tc>
          <w:tcPr>
            <w:tcW w:type="dxa" w:w="4320"/>
          </w:tcPr>
          <w:p>
            <w:r>
              <w:rPr>
                <w:sz w:val="17"/>
              </w:rPr>
            </w:r>
            <w:r>
              <w:rPr>
                <w:sz w:val="17"/>
              </w:rPr>
              <w:t>$25 · 1 800</w:t>
            </w:r>
          </w:p>
        </w:tc>
      </w:tr>
      <w:tr>
        <w:tc>
          <w:tcPr>
            <w:tcW w:type="dxa" w:w="4320"/>
          </w:tcPr>
          <w:p>
            <w:r>
              <w:rPr>
                <w:sz w:val="17"/>
              </w:rPr>
            </w:r>
            <w:r>
              <w:rPr>
                <w:sz w:val="17"/>
              </w:rPr>
              <w:t>Post-money</w:t>
            </w:r>
          </w:p>
        </w:tc>
        <w:tc>
          <w:tcPr>
            <w:tcW w:type="dxa" w:w="4320"/>
          </w:tcPr>
          <w:p>
            <w:r>
              <w:rPr>
                <w:sz w:val="17"/>
              </w:rPr>
            </w:r>
            <w:r>
              <w:rPr>
                <w:sz w:val="17"/>
              </w:rPr>
              <w:t>$273 · 19,54</w:t>
            </w:r>
          </w:p>
        </w:tc>
      </w:tr>
      <w:tr>
        <w:tc>
          <w:tcPr>
            <w:tcW w:type="dxa" w:w="4320"/>
          </w:tcPr>
          <w:p>
            <w:r>
              <w:rPr>
                <w:sz w:val="17"/>
              </w:rPr>
            </w:r>
            <w:r>
              <w:rPr>
                <w:sz w:val="17"/>
              </w:rPr>
              <w:t>Part de l’investisseur</w:t>
            </w:r>
          </w:p>
        </w:tc>
        <w:tc>
          <w:tcPr>
            <w:tcW w:type="dxa" w:w="4320"/>
          </w:tcPr>
          <w:p>
            <w:r>
              <w:rPr>
                <w:sz w:val="17"/>
              </w:rPr>
            </w:r>
            <w:r>
              <w:rPr>
                <w:sz w:val="17"/>
              </w:rPr>
              <w:t>9,21 %</w:t>
            </w:r>
          </w:p>
        </w:tc>
      </w:tr>
    </w:tbl>
    <w:p/>
    <w:p>
      <w:pPr>
        <w:ind w:left="360"/>
      </w:pPr>
      <w:r>
        <w:rPr>
          <w:b/>
          <w:i/>
          <w:color w:val="444444"/>
        </w:rPr>
        <w:t>Le tour couvre le besoin calculé.</w:t>
      </w:r>
      <w:r>
        <w:rPr>
          <w:i/>
          <w:color w:val="444444"/>
        </w:rPr>
        <w:t xml:space="preserve"> Le besoin au pic est de 1 701 M ₽ (fin 2028), le tour de 1 800 M ₽, soit un coussin de 99 M ₽. Le coussin est mince : un retard d’un an au lancement porte le besoin à 3 438 M ₽ et le tour ne suffirait plus. La date de lancement est le premier élément à surveiller.</w:t>
      </w:r>
    </w:p>
    <w:p>
      <w:pPr>
        <w:ind w:left="360"/>
      </w:pPr>
      <w:r>
        <w:rPr>
          <w:i/>
          <w:color w:val="444444"/>
        </w:rPr>
        <w:t>Dans l’édition précédente, la décote de stade était appliquée deux fois — d’abord à l’intérieur de l’approche par les revenus, puis de nouveau sur la synthèse. La valeur d’entrée s’en trouvait sous-estimée d’environ moitié. La correction renforce la position de négociation du projet, elle ne l’affaiblit pas.</w:t>
      </w:r>
    </w:p>
    <w:p>
      <w:pPr>
        <w:pStyle w:val="Heading2"/>
      </w:pPr>
      <w:r>
        <w:t>Limites du modèle</w:t>
      </w:r>
    </w:p>
    <w:p>
      <w:pPr>
        <w:pStyle w:val="ListNumber"/>
      </w:pPr>
      <w:r>
        <w:rPr>
          <w:b/>
        </w:rPr>
        <w:t>La trajectoire de part de marché n’est corroborée par rien.</w:t>
      </w:r>
      <w:r>
        <w:t xml:space="preserve"> Ni pilote, ni contrats, ni projet comparable. C’est l’hypothèse de l’auteur, et toute la valorisation repose dessus.</w:t>
      </w:r>
    </w:p>
    <w:p>
      <w:pPr>
        <w:pStyle w:val="ListNumber"/>
      </w:pPr>
      <w:r>
        <w:rPr>
          <w:b/>
        </w:rPr>
        <w:t>Le cadre réglementaire n’a pas été adopté.</w:t>
      </w:r>
      <w:r>
        <w:t xml:space="preserve"> Le modèle suppose que la réglementation permettra d’opérer à l’échelle annoncée. Dans le cas contraire, seul le scénario conservateur s’applique.</w:t>
      </w:r>
    </w:p>
    <w:p>
      <w:pPr>
        <w:pStyle w:val="ListNumber"/>
      </w:pPr>
      <w:r>
        <w:rPr>
          <w:b/>
        </w:rPr>
        <w:t>Les exigences de fonds propres de l’opérateur de système d’information ne sont pas modélisées</w:t>
      </w:r>
      <w:r>
        <w:t xml:space="preserve"> — fonds propres, réserves, dépôts de garantie.</w:t>
      </w:r>
    </w:p>
    <w:p>
      <w:pPr>
        <w:pStyle w:val="ListNumber"/>
      </w:pPr>
      <w:r>
        <w:rPr>
          <w:b/>
        </w:rPr>
        <w:t>Le coût d’acquisition client n’apparaît pas sur une ligne distincte</w:t>
      </w:r>
      <w:r>
        <w:t xml:space="preserve"> — il est inclus dans la part variable des charges.</w:t>
      </w:r>
    </w:p>
    <w:p>
      <w:pPr>
        <w:pStyle w:val="ListNumber"/>
      </w:pPr>
      <w:r>
        <w:rPr>
          <w:b/>
        </w:rPr>
        <w:t>Le modèle est sans dette.</w:t>
      </w:r>
      <w:r>
        <w:t xml:space="preserve"> Capitaux propres uniquement ; aucun bouclier fiscal sur intérêts n’est pris en compte.</w:t>
      </w:r>
    </w:p>
    <w:p>
      <w:pPr>
        <w:pStyle w:val="ListNumber"/>
      </w:pPr>
      <w:r>
        <w:rPr>
          <w:b/>
        </w:rPr>
        <w:t>Tous les flux sont en roubles</w:t>
      </w:r>
      <w:r>
        <w:t>, il n’y a pas de position de change.</w:t>
      </w:r>
    </w:p>
    <w:p>
      <w:pPr>
        <w:pStyle w:val="ListNumber"/>
      </w:pPr>
      <w:r>
        <w:rPr>
          <w:b/>
        </w:rPr>
        <w:t>Les paramètres macroéconomiques sont figés à mai 2026</w:t>
      </w:r>
      <w:r>
        <w:t xml:space="preserve"> (hors taux directeur) et doivent être actualisés à la date des négociations.</w:t>
      </w:r>
    </w:p>
    <w:p>
      <w:pPr>
        <w:pStyle w:val="ListNumber"/>
      </w:pPr>
      <w:r>
        <w:rPr>
          <w:b/>
        </w:rPr>
        <w:t>Le modèle ne constitue pas une offre</w:t>
      </w:r>
      <w:r>
        <w:t xml:space="preserve"> et ne garantit aucun résultat.</w:t>
      </w:r>
    </w:p>
    <w:p>
      <w:pPr>
        <w:jc w:val="both"/>
      </w:pPr>
      <w:r>
        <w:rPr>
          <w:b/>
        </w:rPr>
        <w:t>Édition v5 · 07.09.2026 · calculé par programme ; contrôle de cohérence réussi.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