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RFP — Vendor Due Diligence (Big-4)</w:t>
      </w:r>
    </w:p>
    <w:p>
      <w:pPr>
        <w:ind w:left="360"/>
      </w:pPr>
      <w:r>
        <w:rPr>
          <w:b/>
          <w:i/>
          <w:color w:val="444444"/>
        </w:rPr>
        <w:t>Note.</w:t>
      </w:r>
      <w:r>
        <w:rPr>
          <w:i/>
          <w:color w:val="444444"/>
        </w:rPr>
        <w:t xml:space="preserve"> Cette traduction suit l'original russe. La partie financière de l'original a été recalculée le 07.09.2026 (modèle v5) ; les chiffres de cette traduction ont été alignés sur ce calcul. En cas de divergence de rédaction, la version russe fait foi.</w:t>
      </w:r>
    </w:p>
    <w:p>
      <w:pPr>
        <w:jc w:val="both"/>
      </w:pPr>
      <w:r>
        <w:rPr>
          <w:b/>
        </w:rPr>
        <w:t>Projet :</w:t>
      </w:r>
      <w:r>
        <w:t xml:space="preserve"> Plateforme numérique CPFSR — opérateur DFA adossé à des garanties immobilières avec émissions destinées aux projets nationaux </w:t>
      </w:r>
      <w:r>
        <w:rPr>
          <w:b/>
        </w:rPr>
        <w:t>Client :</w:t>
      </w:r>
      <w:r>
        <w:t xml:space="preserve"> Abdoul-Khakim Akhmadovitch Kaguirov (Center Group Company) — titulaire unique du concept (certificat de dépôt n° 4011265 du 19.12.2024) </w:t>
      </w:r>
      <w:r>
        <w:rPr>
          <w:b/>
        </w:rPr>
        <w:t>Référence engagement :</w:t>
      </w:r>
      <w:r>
        <w:t xml:space="preserve"> RSFSR-DD-2026 </w:t>
      </w:r>
      <w:r>
        <w:rPr>
          <w:b/>
        </w:rPr>
        <w:t>Date d'émission du RFP :</w:t>
      </w:r>
      <w:r>
        <w:t xml:space="preserve"> 24.05.2026 </w:t>
      </w:r>
      <w:r>
        <w:rPr>
          <w:b/>
        </w:rPr>
        <w:t>Date limite des offres :</w:t>
      </w:r>
      <w:r>
        <w:t xml:space="preserve"> T+21 jours (15.06.2026)</w:t>
      </w:r>
    </w:p>
    <w:p>
      <w:pPr>
        <w:pStyle w:val="Heading2"/>
      </w:pPr>
      <w:r>
        <w:t>1. Objectif de l'engagement</w:t>
      </w:r>
    </w:p>
    <w:p>
      <w:pPr>
        <w:jc w:val="both"/>
      </w:pPr>
      <w:r>
        <w:t>Obtention d'un avis indépendant de Vendor Due Diligence tier-1 (Big-4) sur le projet CPFSR afin de sécuriser l'attrait pour un tour Seed stratégique de 25 M USD (pre-money 248 M USD, post-money 273 M USD, participation investisseur 9,21 %) et de préparer la Série A.</w:t>
      </w:r>
    </w:p>
    <w:p>
      <w:pPr>
        <w:jc w:val="both"/>
      </w:pPr>
      <w:r>
        <w:t>L'avis doit répondre au standard des mémorandums d'investissement des opérations PE/VC tier-1 et être acceptable pour les catégories suivantes :</w:t>
      </w:r>
    </w:p>
    <w:p>
      <w:pPr>
        <w:pStyle w:val="ListBullet"/>
      </w:pPr>
      <w:r>
        <w:t>Investisseurs institutionnels de la Fédération de Russie (fonds de pension, assureurs, banques privées)</w:t>
      </w:r>
    </w:p>
    <w:p>
      <w:pPr>
        <w:pStyle w:val="ListBullet"/>
      </w:pPr>
      <w:r>
        <w:t>Fonds de private equity / venture capital (FR + EAEU + juridictions amies)</w:t>
      </w:r>
    </w:p>
    <w:p>
      <w:pPr>
        <w:pStyle w:val="ListBullet"/>
      </w:pPr>
      <w:r>
        <w:t>Comités de crédit des institutions de développement (VEB.RF, Fabrique de financement de projet)</w:t>
      </w:r>
    </w:p>
    <w:p>
      <w:pPr>
        <w:pStyle w:val="ListBullet"/>
      </w:pPr>
      <w:r>
        <w:t>Comités de compliance internes de Limited Partners potentiels</w:t>
      </w:r>
    </w:p>
    <w:p>
      <w:pPr>
        <w:pStyle w:val="Heading2"/>
      </w:pPr>
      <w:r>
        <w:t>2. Scope of Work</w:t>
      </w:r>
    </w:p>
    <w:p>
      <w:pPr>
        <w:pStyle w:val="Heading3"/>
      </w:pPr>
      <w:r>
        <w:t>2.1. Financial Due Diligence</w:t>
      </w:r>
    </w:p>
    <w:p>
      <w:pPr>
        <w:pStyle w:val="ListBullet"/>
      </w:pPr>
      <w:r>
        <w:rPr>
          <w:b/>
        </w:rPr>
        <w:t>Quality of Earnings (QoE) :</w:t>
      </w:r>
      <w:r>
        <w:t xml:space="preserve"> analyse du modèle financier sur l’horizon 2027–2036 + valeur terminale de Gordon sur un flux normalisé. Identification des normalisations, éléments non récurrents, ajustements du besoin en fonds de roulement.</w:t>
      </w:r>
    </w:p>
    <w:p>
      <w:pPr>
        <w:pStyle w:val="ListBullet"/>
      </w:pPr>
      <w:r>
        <w:rPr>
          <w:b/>
        </w:rPr>
        <w:t>Vérification VAN / TRI / Payback :</w:t>
      </w:r>
      <w:r>
        <w:t xml:space="preserve"> recalcul indépendant de tous les indicateurs clés (valeur d’entreprise 63,0 Md ₽ ; récupération 2,73 ans en simple et 3,05 ans en actualisé ; multiple pour l’investisseur 18,4×) à partir du modèle source dans </w:t>
      </w:r>
      <w:r>
        <w:rPr>
          <w:rFonts w:ascii="Consolas" w:hAnsi="Consolas"/>
          <w:sz w:val="18"/>
        </w:rPr>
        <w:t>03_Финансовая_модель/</w:t>
      </w:r>
      <w:r>
        <w:t>.</w:t>
      </w:r>
    </w:p>
    <w:p>
      <w:pPr>
        <w:pStyle w:val="ListBullet"/>
      </w:pPr>
      <w:r>
        <w:rPr>
          <w:b/>
        </w:rPr>
        <w:t>Validation du CMPC :</w:t>
      </w:r>
      <w:r>
        <w:t xml:space="preserve"> vérification du build-up (RF 14,73% + ERP×β 10,35 % + Stage premium 1,5 % + Liquidity premium 2,5 % = 30 %) par rapport à Damodaran mai 2026, taux directeur BCR, données de marché OFZ.</w:t>
      </w:r>
    </w:p>
    <w:p>
      <w:pPr>
        <w:pStyle w:val="ListBullet"/>
      </w:pPr>
      <w:r>
        <w:rPr>
          <w:b/>
        </w:rPr>
        <w:t>Analyse de sensibilité et de scénarios :</w:t>
      </w:r>
      <w:r>
        <w:t xml:space="preserve"> une simulation indépendante (≥ 10 000 itérations), diagramme tornado couvrant ≥ 8 drivers, stress-test de la trésorerie.</w:t>
      </w:r>
    </w:p>
    <w:p>
      <w:pPr>
        <w:pStyle w:val="ListBullet"/>
      </w:pPr>
      <w:r>
        <w:rPr>
          <w:b/>
        </w:rPr>
        <w:t>Transactions comparables :</w:t>
      </w:r>
      <w:r>
        <w:t xml:space="preserve"> triangulation de la valorisation via Comparable Multiples (EV/Revenue, EV/EBITDA, EV/AUM) à partir de PitchBook / Crunchbase / Refinitiv sur 10+ deals comparables dans les segments DFA / opérateurs fintech / places de marché financières.</w:t>
      </w:r>
    </w:p>
    <w:p>
      <w:pPr>
        <w:pStyle w:val="ListBullet"/>
      </w:pPr>
      <w:r>
        <w:rPr>
          <w:b/>
        </w:rPr>
        <w:t>Opinion d'audit :</w:t>
      </w:r>
      <w:r>
        <w:t xml:space="preserve"> sur la fiabilité des données sources et de la méthodologie, non sur la juste valeur absolue.</w:t>
      </w:r>
    </w:p>
    <w:p>
      <w:pPr>
        <w:pStyle w:val="Heading3"/>
      </w:pPr>
      <w:r>
        <w:t>2.2. Tax Due Diligence</w:t>
      </w:r>
    </w:p>
    <w:p>
      <w:pPr>
        <w:pStyle w:val="ListBullet"/>
      </w:pPr>
      <w:r>
        <w:t>Analyse de la position fiscale de l'opérateur DFA dans la rédaction actuelle du Code des impôts RF :</w:t>
      </w:r>
    </w:p>
    <w:p>
      <w:pPr>
        <w:pStyle w:val="ListBullet"/>
      </w:pPr>
      <w:r>
        <w:t>TVA : al. 12.2 du § 2 art. 149 du CI (loi 324-FZ du 31.07.2020) — exonération des opérations DFA.</w:t>
      </w:r>
    </w:p>
    <w:p>
      <w:pPr>
        <w:pStyle w:val="ListBullet"/>
      </w:pPr>
      <w:r>
        <w:t>IS 20 % — taux standard ; régime préférentiel IT 5 % (jusqu'au 31.12.2030) possible avec ≥ 70 % de revenus IT + accréditation IT.</w:t>
      </w:r>
    </w:p>
    <w:p>
      <w:pPr>
        <w:pStyle w:val="ListBullet"/>
      </w:pPr>
      <w:r>
        <w:t>Cotisations sociales 30 % (CI, chapitre 34).</w:t>
      </w:r>
    </w:p>
    <w:p>
      <w:pPr>
        <w:pStyle w:val="ListBullet"/>
      </w:pPr>
      <w:r>
        <w:t>Impôt foncier — néant (actifs incorporels).</w:t>
      </w:r>
    </w:p>
    <w:p>
      <w:pPr>
        <w:pStyle w:val="ListBullet"/>
      </w:pPr>
      <w:r>
        <w:t>Structuration des opérations DFA pour optimiser la charge fiscale.</w:t>
      </w:r>
    </w:p>
    <w:p>
      <w:pPr>
        <w:pStyle w:val="ListBullet"/>
      </w:pPr>
      <w:r>
        <w:t>Analyse des risques fiscaux liés à la construction wedge (Étape 1 sans amendements vs Étape 2 paquet de 4 lois fédérales).</w:t>
      </w:r>
    </w:p>
    <w:p>
      <w:pPr>
        <w:pStyle w:val="ListBullet"/>
      </w:pPr>
      <w:r>
        <w:t>Trans-jurisdiction tax matters (FATCA / CRS) — le cas échéant pour LP internationaux.</w:t>
      </w:r>
    </w:p>
    <w:p>
      <w:pPr>
        <w:pStyle w:val="Heading3"/>
      </w:pPr>
      <w:r>
        <w:t>2.3. Revue DCF de qualité IFRS</w:t>
      </w:r>
    </w:p>
    <w:p>
      <w:pPr>
        <w:pStyle w:val="ListBullet"/>
      </w:pPr>
      <w:r>
        <w:t>Construire un cadre de mesure de la juste valeur conforme à IFRS 13 pour le projet.</w:t>
      </w:r>
    </w:p>
    <w:p>
      <w:pPr>
        <w:pStyle w:val="ListBullet"/>
      </w:pPr>
      <w:r>
        <w:t>Appliquer la hiérarchie de valorisation Level-3 (inputs non observables) avec disclosure explicite des hypothèses.</w:t>
      </w:r>
    </w:p>
    <w:p>
      <w:pPr>
        <w:pStyle w:val="ListBullet"/>
      </w:pPr>
      <w:r>
        <w:t>Impact comptable des contrats de location IFRS 16 sur la courbe OpEx (data centers, bureaux).</w:t>
      </w:r>
    </w:p>
    <w:p>
      <w:pPr>
        <w:pStyle w:val="ListBullet"/>
      </w:pPr>
      <w:r>
        <w:t>Classification IFRS 9 des instruments financiers — pour les DFA en tant qu'actifs financiers.</w:t>
      </w:r>
    </w:p>
    <w:p>
      <w:pPr>
        <w:pStyle w:val="ListBullet"/>
      </w:pPr>
      <w:r>
        <w:t>Disclosure IFRS 7 — cadre de gestion des risques.</w:t>
      </w:r>
    </w:p>
    <w:p>
      <w:pPr>
        <w:pStyle w:val="ListBullet"/>
      </w:pPr>
      <w:r>
        <w:t>Reconnaissance du revenu IFRS 15 — pour le modèle commissionnaire (5 flux : feeIssue, feeService, feePlatform, feeB2B, feeAppraisal).</w:t>
      </w:r>
    </w:p>
    <w:p>
      <w:pPr>
        <w:pStyle w:val="Heading3"/>
      </w:pPr>
      <w:r>
        <w:t>2.4. Fairness Opinion</w:t>
      </w:r>
    </w:p>
    <w:p>
      <w:pPr>
        <w:jc w:val="both"/>
      </w:pPr>
      <w:r>
        <w:t>Opinion indépendante de Fairness Opinion selon l'AICPA Statement on Standards for Valuation Services (SSVS-1) ou IVSC International Valuation Standards 2026. Doit traiter explicitement :</w:t>
      </w:r>
    </w:p>
    <w:p>
      <w:pPr>
        <w:pStyle w:val="ListBullet"/>
      </w:pPr>
      <w:r>
        <w:t>la raisonnabilité du pre-money calculé de 248 M USD / fourchette selon les scénarios 164–301 M USD ;</w:t>
      </w:r>
    </w:p>
    <w:p>
      <w:pPr>
        <w:pStyle w:val="ListBullet"/>
      </w:pPr>
      <w:r>
        <w:t>l'adéquation du coût du capital (CMPC 29,5 % RUB) ;</w:t>
      </w:r>
    </w:p>
    <w:p>
      <w:pPr>
        <w:pStyle w:val="ListBullet"/>
      </w:pPr>
      <w:r>
        <w:t>l'hypothèse de continuité d'exploitation sur la trésorerie (creux négatif cumulé −2,1 Md ₽) ;</w:t>
      </w:r>
    </w:p>
    <w:p>
      <w:pPr>
        <w:pStyle w:val="ListBullet"/>
      </w:pPr>
      <w:r>
        <w:t>les choix méthodologiques (valeur terminale de Gordon sur un flux normalisé, VAN vs multiples comparables, build-up du CMPC vs CAPM).</w:t>
      </w:r>
    </w:p>
    <w:p>
      <w:pPr>
        <w:pStyle w:val="Heading2"/>
      </w:pPr>
      <w:r>
        <w:t>3. Livrables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Échéance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Inception Report (kick-off + plan de travail)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PDF, 8–12 p.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T+10 jours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Mid-term Findings (intermédiaire)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PDF, 20–30 p.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T+30 jours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Draft VDD Report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PDF + Excel workbook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T+45 jours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Final VDD Report (style LMA)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PDF, 60–120 p. + Datapack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T+60 jours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Fairness Opinion (signée par le Partner)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PDF, 6–10 p., signée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T+60 jours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Q&amp;A management session (visioconférence)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2–3 sessions × 2 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Selon calendrier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Synthèse pour présentation aux investisseurs (board-deck friendly)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PDF, 10–15 p.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T+60 jours</w:t>
            </w:r>
          </w:p>
        </w:tc>
      </w:tr>
    </w:tbl>
    <w:p/>
    <w:p>
      <w:pPr>
        <w:jc w:val="both"/>
      </w:pPr>
      <w:r>
        <w:t>Tous les livrables — en russe (principal) + anglais (executive summary + key findings).</w:t>
      </w:r>
    </w:p>
    <w:p>
      <w:pPr>
        <w:pStyle w:val="Heading2"/>
      </w:pPr>
      <w:r>
        <w:t>4. Qualité et indépendance</w:t>
      </w:r>
    </w:p>
    <w:p>
      <w:pPr>
        <w:pStyle w:val="ListBullet"/>
      </w:pPr>
      <w:r>
        <w:t>Le Partner signataire doit être certifié dans l'un des systèmes suivants : ACA (ICAEW), CPA, CFA Charter, ASA (American Society of Appraisers).</w:t>
      </w:r>
    </w:p>
    <w:p>
      <w:pPr>
        <w:pStyle w:val="ListBullet"/>
      </w:pPr>
      <w:r>
        <w:t>Équipe — minimum 4 personnes : Engagement Partner + Senior Manager + 2 Analysts ; CV obligatoires.</w:t>
      </w:r>
    </w:p>
    <w:p>
      <w:pPr>
        <w:pStyle w:val="ListBullet"/>
      </w:pPr>
      <w:r>
        <w:t>Disclosure des conflits d'intérêts (obligatoire) : vérifier tout engagement avec des parties liées au projet (JSC Atomyze, VEB.RF, partner bank, Promsviazbank, affiliés Atomyze) sur les 36 derniers mois.</w:t>
      </w:r>
    </w:p>
    <w:p>
      <w:pPr>
        <w:pStyle w:val="ListBullet"/>
      </w:pPr>
      <w:r>
        <w:t>Assurance : Professional Indemnity Insurance ≥ 5 M USD.</w:t>
      </w:r>
    </w:p>
    <w:p>
      <w:pPr>
        <w:pStyle w:val="Heading2"/>
      </w:pPr>
      <w:r>
        <w:t>5. Budget et délais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Paramètre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Budget indicatif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8 — 25 M ₽ (9 — 28 M ₽ TTC)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Délai d'exécution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6 — 10 semaines à compter du kick-off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Paiements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30 % à la signature / 40 % mid-term / 30 % à l'acceptation du Final Report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Pénalité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0,1 % par jour de retard au-delà du SLA, plafonnée à 10 % du fee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Langues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RU (principal) + EN (executive summary)</w:t>
            </w:r>
          </w:p>
        </w:tc>
      </w:tr>
    </w:tbl>
    <w:p/>
    <w:p>
      <w:pPr>
        <w:pStyle w:val="Heading2"/>
      </w:pPr>
      <w:r>
        <w:t>6. Liste des cabinets tier-1 invités</w:t>
      </w:r>
    </w:p>
    <w:p>
      <w:pPr>
        <w:pStyle w:val="ListNumber"/>
      </w:pPr>
      <w:r>
        <w:rPr>
          <w:b/>
        </w:rPr>
        <w:t>KPMG (FR + member firm dans une juridiction amie)</w:t>
      </w:r>
      <w:r>
        <w:t xml:space="preserve"> — leader en VDD financière pour les deals fintech russes</w:t>
      </w:r>
    </w:p>
    <w:p>
      <w:pPr>
        <w:pStyle w:val="ListNumber"/>
      </w:pPr>
      <w:r>
        <w:rPr>
          <w:b/>
        </w:rPr>
        <w:t>Deloitte (successeur russe « Business Solutions and Technologies »)</w:t>
      </w:r>
      <w:r>
        <w:t xml:space="preserve"> — forte expertise en 779-P / 259-FZ</w:t>
      </w:r>
    </w:p>
    <w:p>
      <w:pPr>
        <w:pStyle w:val="ListNumber"/>
      </w:pPr>
      <w:r>
        <w:rPr>
          <w:b/>
        </w:rPr>
        <w:t>EY (successeur russe « B1 »)</w:t>
      </w:r>
      <w:r>
        <w:t xml:space="preserve"> — tax DD sur DFA (art. 34.2 CI)</w:t>
      </w:r>
    </w:p>
    <w:p>
      <w:pPr>
        <w:pStyle w:val="ListNumber"/>
      </w:pPr>
      <w:r>
        <w:rPr>
          <w:b/>
        </w:rPr>
        <w:t>PwC (successeur russe « Technologies of Trust »)</w:t>
      </w:r>
      <w:r>
        <w:t xml:space="preserve"> — valorisation IFRS-grade</w:t>
      </w:r>
    </w:p>
    <w:p>
      <w:pPr>
        <w:pStyle w:val="ListNumber"/>
      </w:pPr>
      <w:r>
        <w:rPr>
          <w:b/>
        </w:rPr>
        <w:t>BDO / Unicon</w:t>
      </w:r>
      <w:r>
        <w:t xml:space="preserve"> — fallback tier-2 local (si l'ensemble des Big Four décline)</w:t>
      </w:r>
    </w:p>
    <w:p>
      <w:pPr>
        <w:pStyle w:val="Heading2"/>
      </w:pPr>
      <w:r>
        <w:t>7. NDA + Data Room</w:t>
      </w:r>
    </w:p>
    <w:p>
      <w:pPr>
        <w:pStyle w:val="ListBullet"/>
      </w:pPr>
      <w:r>
        <w:t>NDA mutuel + survie 5 ans</w:t>
      </w:r>
    </w:p>
    <w:p>
      <w:pPr>
        <w:pStyle w:val="ListBullet"/>
      </w:pPr>
      <w:r>
        <w:t xml:space="preserve">Accès à la Data Room dans </w:t>
      </w:r>
      <w:r>
        <w:rPr>
          <w:rFonts w:ascii="Consolas" w:hAnsi="Consolas"/>
          <w:sz w:val="18"/>
        </w:rPr>
        <w:t>17_Data_room/</w:t>
      </w:r>
      <w:r>
        <w:t xml:space="preserve"> (canon Intralinks / Datasite)</w:t>
      </w:r>
    </w:p>
    <w:p>
      <w:pPr>
        <w:pStyle w:val="ListBullet"/>
      </w:pPr>
      <w:r>
        <w:t>Q&amp;A via outil VDR dédié (Datasite / Intralinks / Firmex)</w:t>
      </w:r>
    </w:p>
    <w:p>
      <w:pPr>
        <w:pStyle w:val="ListBullet"/>
      </w:pPr>
      <w:r>
        <w:t>Niveaux d'accès : full / restricted / Q&amp;A-only</w:t>
      </w:r>
    </w:p>
    <w:p>
      <w:pPr>
        <w:pStyle w:val="Heading2"/>
      </w:pPr>
      <w:r>
        <w:t>8. Critères de sélection (50/30/20)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Critère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Poids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Capacité technique et track-record sur deals comparables (≥ 3 VDD DFA sur 24 mois)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50 %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Partner et équipe (≥ 10 ans d'expérience, certifications CFA/ACA/CPA)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30 %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Prix et délais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20 %</w:t>
            </w:r>
          </w:p>
        </w:tc>
      </w:tr>
    </w:tbl>
    <w:p/>
    <w:p>
      <w:pPr>
        <w:pStyle w:val="Heading2"/>
      </w:pPr>
      <w:r>
        <w:t>9. Dépôt des offres</w:t>
      </w:r>
    </w:p>
    <w:p>
      <w:pPr>
        <w:pStyle w:val="ListBullet"/>
      </w:pPr>
      <w:r>
        <w:rPr>
          <w:b/>
        </w:rPr>
        <w:t>Adresse e-mail :</w:t>
      </w:r>
      <w:r>
        <w:t xml:space="preserve"> rsfsr-dd@centergroup.ru</w:t>
      </w:r>
    </w:p>
    <w:p>
      <w:pPr>
        <w:pStyle w:val="ListBullet"/>
      </w:pPr>
      <w:r>
        <w:rPr>
          <w:b/>
        </w:rPr>
        <w:t>Personne de contact :</w:t>
      </w:r>
      <w:r>
        <w:t xml:space="preserve"> Abdoul-Khakim Akhmadovitch Kaguirov, +7 (XXX) XXX-XX-XX</w:t>
      </w:r>
    </w:p>
    <w:p>
      <w:pPr>
        <w:pStyle w:val="ListBullet"/>
      </w:pPr>
      <w:r>
        <w:rPr>
          <w:b/>
        </w:rPr>
        <w:t>Format de l'offre :</w:t>
      </w:r>
      <w:r>
        <w:t xml:space="preserve"> PDF en un seul fichier, jusqu'à 30 pages, comprenant la proposition + CV + price quote</w:t>
      </w:r>
    </w:p>
    <w:p>
      <w:pPr>
        <w:pStyle w:val="ListBullet"/>
      </w:pPr>
      <w:r>
        <w:rPr>
          <w:b/>
        </w:rPr>
        <w:t>Projet d'Engagement Letter</w:t>
      </w:r>
      <w:r>
        <w:t xml:space="preserve"> — à préparer après sélection</w:t>
      </w:r>
    </w:p>
    <w:p>
      <w:pPr>
        <w:jc w:val="both"/>
      </w:pPr>
      <w:r>
        <w:rPr>
          <w:b/>
        </w:rPr>
        <w:t>Date :</w:t>
      </w:r>
      <w:r>
        <w:t xml:space="preserve"> 24.05.2026 </w:t>
      </w:r>
      <w:r>
        <w:rPr>
          <w:b/>
        </w:rPr>
        <w:t>Auteur et titulaire de droits :</w:t>
      </w:r>
      <w:r>
        <w:t xml:space="preserve"> A.-Kh. A. Kaguirov (certificat de dépôt n° 4011265 du 19.12.2024) </w:t>
      </w:r>
      <w:r>
        <w:rPr>
          <w:b/>
        </w:rPr>
        <w:t>Référence engagement :</w:t>
      </w:r>
      <w:r>
        <w:t xml:space="preserve"> RSFSR-DD-2026</w:t>
      </w:r>
    </w:p>
    <w:p>
      <w:pPr>
        <w:jc w:val="both"/>
      </w:pPr>
      <w:r>
        <w:t>Center Group Company · adresse postale et coordonnées disponibles sur demande.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