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Room — INDEX — CPFSR</w:t>
      </w:r>
    </w:p>
    <w:p>
      <w:pPr>
        <w:jc w:val="both"/>
      </w:pPr>
      <w:r>
        <w:rPr>
          <w:b/>
        </w:rPr>
        <w:t>Référence engagement :</w:t>
      </w:r>
      <w:r>
        <w:t xml:space="preserve"> RSFSR-DR-2026 </w:t>
      </w:r>
      <w:r>
        <w:rPr>
          <w:b/>
        </w:rPr>
        <w:t>Date :</w:t>
      </w:r>
      <w:r>
        <w:t xml:space="preserve"> 24.05.2026 </w:t>
      </w:r>
      <w:r>
        <w:rPr>
          <w:b/>
        </w:rPr>
        <w:t>Structure :</w:t>
      </w:r>
      <w:r>
        <w:t xml:space="preserve"> canon Intralinks / Datasite / Firmex </w:t>
      </w:r>
      <w:r>
        <w:rPr>
          <w:b/>
        </w:rPr>
        <w:t>Niveaux d'accès :</w:t>
      </w:r>
      <w:r>
        <w:t xml:space="preserve"> </w:t>
      </w:r>
      <w:r>
        <w:rPr>
          <w:rFonts w:ascii="Consolas" w:hAnsi="Consolas"/>
          <w:sz w:val="18"/>
        </w:rPr>
        <w:t>full</w:t>
      </w:r>
      <w:r>
        <w:t xml:space="preserve"> / </w:t>
      </w:r>
      <w:r>
        <w:rPr>
          <w:rFonts w:ascii="Consolas" w:hAnsi="Consolas"/>
          <w:sz w:val="18"/>
        </w:rPr>
        <w:t>restricted</w:t>
      </w:r>
      <w:r>
        <w:t xml:space="preserve"> / </w:t>
      </w:r>
      <w:r>
        <w:rPr>
          <w:rFonts w:ascii="Consolas" w:hAnsi="Consolas"/>
          <w:sz w:val="18"/>
        </w:rPr>
        <w:t>Q&amp;A-only</w:t>
      </w:r>
      <w:r>
        <w:t xml:space="preserve"> / </w:t>
      </w:r>
      <w:r>
        <w:rPr>
          <w:rFonts w:ascii="Consolas" w:hAnsi="Consolas"/>
          <w:sz w:val="18"/>
        </w:rPr>
        <w:t>no-access</w:t>
      </w:r>
    </w:p>
    <w:p>
      <w:pPr>
        <w:pStyle w:val="Heading2"/>
      </w:pPr>
      <w:r>
        <w:t>01_Corporate — Documents constitutifs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Niveau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État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Certificat d'enregistrement de la personne morale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Après immatriculation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Statuts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Après immatriculation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Pacte d'actionnaires (SHA)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Nouveau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Registre des actionnaires (CapTable)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Procès-verbaux du Conseil et des Assemblées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Biographie de l'auteur (A.-Kh. A. Kaguirov)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Source externe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Certificat de dépôt n° 4011265 du 19.12.2024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ireg.pro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Hachage GOST R 34.11-2012 du document conceptuel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Interne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Governance Pack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16_Governance_и_Compliance/Governance_Pack.md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Matrice de conformité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16_Governance_и_Compliance/Compliance_Matrix.md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</w:tbl>
    <w:p/>
    <w:p>
      <w:pPr>
        <w:pStyle w:val="Heading2"/>
      </w:pPr>
      <w:r>
        <w:t>02_Financials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Niveau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État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Modèle financier (10 ans + valeur terminale multi-phases)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03_Финансовая_модель/Финансовая_модель_ЦП_РСФСР.md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Hypothèses et calculs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03_Финансовая_модель/Финмодель_допущения_и_расчёты.md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Indicateurs unifiés (SoT v3)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_Мастер/Единые_показатели_v2.md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Calculateur interactif du modèle (HTML)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_shared/finmodel.js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Évaluation internationale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11_Оценка/Международная_оценка_проекта.md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Scénarios et Monte-Carlo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</w:t>
            </w:r>
            <w:r>
              <w:rPr>
                <w:sz w:val="17"/>
              </w:rPr>
              <w:t xml:space="preserve"> (sensibilité)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Stress-test de trésorerie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03_Финансовая_модель/Финансовая_модель_ЦП_РСФСР.md</w:t>
            </w:r>
            <w:r>
              <w:rPr>
                <w:sz w:val="17"/>
              </w:rPr>
              <w:t xml:space="preserve"> § trésorerie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Use of Funds Étape 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07_Презентации/Для_партнёров_инвесторов/Pitch_deck.html</w:t>
            </w:r>
            <w:r>
              <w:rPr>
                <w:sz w:val="17"/>
              </w:rPr>
              <w:t xml:space="preserve"> slide 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Échéancier de financement-relais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Nouveau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 T+3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 DD sur le modèle financier (après Big-4)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T+8 mois</w:t>
            </w:r>
          </w:p>
        </w:tc>
      </w:tr>
    </w:tbl>
    <w:p/>
    <w:p>
      <w:pPr>
        <w:pStyle w:val="Heading2"/>
      </w:pPr>
      <w:r>
        <w:t>03_Tax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Niveau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État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Dispositions du Code des impôts (al. 12.2 art. 149 ; art. 34.2 ; régime IT préférentiel)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Externe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Tax DD d'un cabinet Big-4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T+8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Structuration Étape 1 / Étape 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_Мастер/Концепт.md</w:t>
            </w:r>
            <w:r>
              <w:rPr>
                <w:sz w:val="17"/>
              </w:rPr>
              <w:t xml:space="preserve"> § 1-bis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Conformité FATCA / CRS (si LP internationaux)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Nouveau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Déclaration fiscale (post-lancement)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T+24 mois</w:t>
            </w:r>
          </w:p>
        </w:tc>
      </w:tr>
    </w:tbl>
    <w:p/>
    <w:p>
      <w:pPr>
        <w:pStyle w:val="Heading2"/>
      </w:pPr>
      <w:r>
        <w:t>04_Legal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Niveau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État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Cadre juridique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02_Юридический_фундамент/Юридический_фундамент_ЦП_РСФСР.md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Pack contractuel (5 contrats)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02_Юридический_фундамент/Договорный_пакет/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Pre-meeting briefs (4 projets de LoI/MoU)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02_Юридический_фундамент/Pre-meeting_briefs/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Legal Opinion (cabinet tier-1)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T+5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EULA / Politique de confidentialité / CGU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09_Мобильное_приложение/Публикация_RuStore/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Demandes de marque « CPFSR »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Enregistrement du logiciel (art. 1262 CC)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Documentation du régime savoir-faire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Interne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Modèles de NDA (mutuel + unilatéral)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Interne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Registre des litiges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</w:tr>
    </w:tbl>
    <w:p/>
    <w:p>
      <w:pPr>
        <w:pStyle w:val="Heading2"/>
      </w:pPr>
      <w:r>
        <w:t>05_Commercial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Niveau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État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Plan d'affaires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04_Бизнес-план/Бизнес-план_ЦП_РСФСР.md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Rapport DD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12_DD_аудит/DD_отчёт.md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Champion-map (Champions gouvernementaux)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_Мастер/Концепт.md</w:t>
            </w:r>
            <w:r>
              <w:rPr>
                <w:sz w:val="17"/>
              </w:rPr>
              <w:t xml:space="preserve"> § 1-ter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Market Study d'un cabinet tier-1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Registre des LoI/MoU partenaires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02_Юридический_фундамент/Pre-meeting_briefs/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Pipeline client (post-lancement)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T+18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Stratégie tarifaire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03_Финансовая_модель/Финмодель_допущения_и_расчёты.md</w:t>
            </w:r>
            <w:r>
              <w:rPr>
                <w:sz w:val="17"/>
              </w:rPr>
              <w:t xml:space="preserve"> § 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</w:tbl>
    <w:p/>
    <w:p>
      <w:pPr>
        <w:pStyle w:val="Heading2"/>
      </w:pPr>
      <w:r>
        <w:t>06_Operations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Niveau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État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 de développement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01_Техническая_документация/07_Дорожная_карта_разработки.md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Diagrammes d'architecture C4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01_Техническая_документация/08_Архитектурные_диаграммы.md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Sécurité et infrastructure d'information critique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01_Техническая_документация/05_Безопасность_и_КИИ.md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Registre DLT des DFA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01_Техническая_документация/06_DLT_реестр_ЦФА.md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Intégrations aux systèmes d'information de l'État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01_Техническая_документация/04_Интеграции_с_ГИС.md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Spécification de l'application mobile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09_Мобильное_приложение/Спецификация_мобильного_приложения.md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Documentation de conception selon GOST 19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09_Мобильное_приложение/Конструкторская_документация/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Plan de réponse aux incidents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BCP / DRP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mois</w:t>
            </w:r>
          </w:p>
        </w:tc>
      </w:tr>
    </w:tbl>
    <w:p/>
    <w:p>
      <w:pPr>
        <w:pStyle w:val="Heading2"/>
      </w:pPr>
      <w:r>
        <w:t>07_IT_IP — Infrastructure IT et propriété intellectuelle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Niveau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État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Architecture logicielle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01_Техническая_документация/01_Концепция_архитектуры.md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Inventaire de la stack technique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Nouveau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Registre des licences open-source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Nouveau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Accès en lecture seule au dépôt de code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Post Série A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Certification FSTEC KII-1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T+8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Rapport SOC 2 Type II (après période d'observation)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T+24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Certificat ISO 27001:2022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T+14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Rapport de tests d'intrusion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T+9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Portefeuille de PI (marques, dépôts logiciels, dépôts savoir-faire)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 (partiellement)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Contrats fournisseurs (cloud / SaaS / conseil)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mois</w:t>
            </w:r>
          </w:p>
        </w:tc>
      </w:tr>
    </w:tbl>
    <w:p/>
    <w:p>
      <w:pPr>
        <w:pStyle w:val="Heading2"/>
      </w:pPr>
      <w:r>
        <w:t>08_HR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Niveau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État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Modèle de contrat de travail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Clauses de non-concurrence / non-sollicitation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Organigramme de l'équipe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ESOP (Employee Stock Option Plan)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Benchmarks de rémunération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Nouveau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Vérifications d'antécédents (key hires)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Politique DEI (diversité, équité, inclusion)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mois</w:t>
            </w:r>
          </w:p>
        </w:tc>
      </w:tr>
    </w:tbl>
    <w:p/>
    <w:p>
      <w:pPr>
        <w:pStyle w:val="Heading2"/>
      </w:pPr>
      <w:r>
        <w:t>09_ESG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Niveau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État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Politique ESG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16_Governance_и_Compliance/Governance_Pack.md</w:t>
            </w:r>
            <w:r>
              <w:rPr>
                <w:sz w:val="17"/>
              </w:rPr>
              <w:t xml:space="preserve"> § 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Inventaire d'empreinte carbone (Scope 1 + 2)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T+18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Reporting SASB (première publication annuelle)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Information TCFD (première publication annuelle)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Modern Slavery Statement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Politique anti-corruption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Governance Pack § 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Données du canal de signalement (whistleblower)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 (post-lancement)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Déclaration d'alignement sur les ODD de l'ONU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Governance Pack § 5.3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Prêt</w:t>
            </w:r>
          </w:p>
        </w:tc>
      </w:tr>
    </w:tbl>
    <w:p/>
    <w:p>
      <w:pPr>
        <w:pStyle w:val="Heading2"/>
      </w:pPr>
      <w:r>
        <w:t>10_Insurance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Niveau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État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Police d'assurance D&amp;O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Assurance responsabilité civile professionnelle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Cyber-assurance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Assurance E&amp;O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mois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Assurance perte d'exploitation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Feuille de 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mois</w:t>
            </w:r>
          </w:p>
        </w:tc>
      </w:tr>
    </w:tbl>
    <w:p/>
    <w:p>
      <w:pPr>
        <w:pStyle w:val="Heading2"/>
      </w:pPr>
      <w:r>
        <w:t>Contrôle d'accès et autorisations</w:t>
      </w:r>
    </w:p>
    <w:p>
      <w:pPr>
        <w:jc w:val="both"/>
      </w:pPr>
      <w:r>
        <w:rPr>
          <w:b/>
        </w:rPr>
        <w:t>Niveaux d'accès :</w:t>
      </w:r>
    </w:p>
    <w:p>
      <w:pPr>
        <w:pStyle w:val="ListBullet"/>
      </w:pPr>
      <w:r>
        <w:rPr>
          <w:b/>
        </w:rPr>
        <w:t>`full`</w:t>
      </w:r>
      <w:r>
        <w:t xml:space="preserve"> — tous les investisseurs potentiels après signature de NDA</w:t>
      </w:r>
    </w:p>
    <w:p>
      <w:pPr>
        <w:pStyle w:val="ListBullet"/>
      </w:pPr>
      <w:r>
        <w:rPr>
          <w:b/>
        </w:rPr>
        <w:t>`restricted`</w:t>
      </w:r>
      <w:r>
        <w:t xml:space="preserve"> — uniquement investisseurs qualifiés (LP / GP) après lettre d'engagement</w:t>
      </w:r>
    </w:p>
    <w:p>
      <w:pPr>
        <w:pStyle w:val="ListBullet"/>
      </w:pPr>
      <w:r>
        <w:rPr>
          <w:b/>
        </w:rPr>
        <w:t>`restricted (high)`</w:t>
      </w:r>
      <w:r>
        <w:t xml:space="preserve"> — uniquement équipe vendor DD Big-4, cabinet tier-1 d'avis juridique, lead Série A</w:t>
      </w:r>
    </w:p>
    <w:p>
      <w:pPr>
        <w:pStyle w:val="ListBullet"/>
      </w:pPr>
      <w:r>
        <w:rPr>
          <w:b/>
        </w:rPr>
        <w:t>`Q&amp;A-only`</w:t>
      </w:r>
      <w:r>
        <w:t xml:space="preserve"> — le document n'est pas remis ; les réponses passent par le canal Q&amp;A formel</w:t>
      </w:r>
    </w:p>
    <w:p>
      <w:pPr>
        <w:pStyle w:val="ListBullet"/>
      </w:pPr>
      <w:r>
        <w:rPr>
          <w:b/>
        </w:rPr>
        <w:t>`no-access`</w:t>
      </w:r>
      <w:r>
        <w:t xml:space="preserve"> — usage interne uniquement</w:t>
      </w:r>
    </w:p>
    <w:p>
      <w:pPr>
        <w:pStyle w:val="Heading2"/>
      </w:pPr>
      <w:r>
        <w:t>Modèle de Disclosure Letter</w:t>
      </w:r>
    </w:p>
    <w:p>
      <w:pPr>
        <w:jc w:val="both"/>
      </w:pPr>
      <w:r>
        <w:t xml:space="preserve">La Disclosure Letter accompagne le projet de SPA / SHA et révèle expressément toutes les exceptions matérielles aux garanties standard. Le modèle se trouve dans </w:t>
      </w:r>
      <w:r>
        <w:rPr>
          <w:rFonts w:ascii="Consolas" w:hAnsi="Consolas"/>
          <w:sz w:val="18"/>
        </w:rPr>
        <w:t>01_Corporate/Disclosure_Letter_template.md</w:t>
      </w:r>
      <w:r>
        <w:t xml:space="preserve"> (à préparer à T+1 mois en même temps que le SHA).</w:t>
      </w:r>
    </w:p>
    <w:p>
      <w:pPr>
        <w:pStyle w:val="Heading2"/>
      </w:pPr>
      <w:r>
        <w:t>Choix de l'outil VDR (en production)</w:t>
      </w:r>
    </w:p>
    <w:p>
      <w:pPr>
        <w:jc w:val="both"/>
      </w:pPr>
      <w:r>
        <w:t>Pour le tour en cours nous recommandons l'une des solutions suivantes :</w:t>
      </w:r>
    </w:p>
    <w:p>
      <w:pPr>
        <w:pStyle w:val="ListBullet"/>
      </w:pPr>
      <w:r>
        <w:rPr>
          <w:b/>
        </w:rPr>
        <w:t>Intralinks</w:t>
      </w:r>
      <w:r>
        <w:t xml:space="preserve"> (standard du secteur, utilisé par les Big Four)</w:t>
      </w:r>
    </w:p>
    <w:p>
      <w:pPr>
        <w:pStyle w:val="ListBullet"/>
      </w:pPr>
      <w:r>
        <w:rPr>
          <w:b/>
        </w:rPr>
        <w:t>Datasite</w:t>
      </w:r>
      <w:r>
        <w:t xml:space="preserve"> (anciennement Merrill Datasite)</w:t>
      </w:r>
    </w:p>
    <w:p>
      <w:pPr>
        <w:pStyle w:val="ListBullet"/>
      </w:pPr>
      <w:r>
        <w:rPr>
          <w:b/>
        </w:rPr>
        <w:t>Firmex</w:t>
      </w:r>
      <w:r>
        <w:t xml:space="preserve"> (mid-market, bonne UX)</w:t>
      </w:r>
    </w:p>
    <w:p>
      <w:pPr>
        <w:pStyle w:val="ListBullet"/>
      </w:pPr>
      <w:r>
        <w:rPr>
          <w:b/>
        </w:rPr>
        <w:t>iDeals</w:t>
      </w:r>
      <w:r>
        <w:t xml:space="preserve"> (économique)</w:t>
      </w:r>
    </w:p>
    <w:p>
      <w:pPr>
        <w:jc w:val="both"/>
      </w:pPr>
      <w:r>
        <w:t xml:space="preserve">Alternatives self-hosted pour les tours post-Série A : </w:t>
      </w:r>
      <w:r>
        <w:rPr>
          <w:b/>
        </w:rPr>
        <w:t>Cylynx VDR</w:t>
      </w:r>
      <w:r>
        <w:t xml:space="preserve">, </w:t>
      </w:r>
      <w:r>
        <w:rPr>
          <w:b/>
        </w:rPr>
        <w:t>Onehub</w:t>
      </w:r>
      <w:r>
        <w:t xml:space="preserve">, </w:t>
      </w:r>
      <w:r>
        <w:rPr>
          <w:b/>
        </w:rPr>
        <w:t>SecureDocs</w:t>
      </w:r>
      <w:r>
        <w:t>.</w:t>
      </w:r>
    </w:p>
    <w:p>
      <w:pPr>
        <w:pStyle w:val="Heading2"/>
      </w:pPr>
      <w:r>
        <w:t>Processus Q&amp;A</w:t>
      </w:r>
    </w:p>
    <w:p>
      <w:pPr>
        <w:pStyle w:val="ListBullet"/>
      </w:pPr>
      <w:r>
        <w:t>Q&amp;A uniquement via l'outil Q&amp;A du VDR (aucun canal email).</w:t>
      </w:r>
    </w:p>
    <w:p>
      <w:pPr>
        <w:pStyle w:val="ListBullet"/>
      </w:pPr>
      <w:r>
        <w:t>Toutes les questions sont consignées.</w:t>
      </w:r>
    </w:p>
    <w:p>
      <w:pPr>
        <w:pStyle w:val="ListBullet"/>
      </w:pPr>
      <w:r>
        <w:t>Réponses sous ≤ 48 h après réception de la question.</w:t>
      </w:r>
    </w:p>
    <w:p>
      <w:pPr>
        <w:pStyle w:val="ListBullet"/>
      </w:pPr>
      <w:r>
        <w:t>Pilotage Q&amp;A par le Compliance Officer + General Counsel + expert sectoriel pertinent.</w:t>
      </w:r>
    </w:p>
    <w:p>
      <w:pPr>
        <w:pStyle w:val="ListBullet"/>
      </w:pPr>
      <w:r>
        <w:t>Un digest Q&amp;A quotidien est diffusé à toutes les parties intéressées actives.</w:t>
      </w:r>
    </w:p>
    <w:p>
      <w:pPr>
        <w:pStyle w:val="Heading2"/>
      </w:pPr>
      <w:r>
        <w:t>Piste d'audit</w:t>
      </w:r>
    </w:p>
    <w:p>
      <w:pPr>
        <w:jc w:val="both"/>
      </w:pPr>
      <w:r>
        <w:t>L'outil VDR consigne automatiquement :</w:t>
      </w:r>
    </w:p>
    <w:p>
      <w:pPr>
        <w:pStyle w:val="ListBullet"/>
      </w:pPr>
      <w:r>
        <w:t>L'identité de la personne ouvrant le document</w:t>
      </w:r>
    </w:p>
    <w:p>
      <w:pPr>
        <w:pStyle w:val="ListBullet"/>
      </w:pPr>
      <w:r>
        <w:t>La durée de consultation</w:t>
      </w:r>
    </w:p>
    <w:p>
      <w:pPr>
        <w:pStyle w:val="ListBullet"/>
      </w:pPr>
      <w:r>
        <w:t xml:space="preserve">Le téléchargement éventuel (désactivé pour le niveau </w:t>
      </w:r>
      <w:r>
        <w:rPr>
          <w:rFonts w:ascii="Consolas" w:hAnsi="Consolas"/>
          <w:sz w:val="18"/>
        </w:rPr>
        <w:t>restricted (high)</w:t>
      </w:r>
      <w:r>
        <w:t>)</w:t>
      </w:r>
    </w:p>
    <w:p>
      <w:pPr>
        <w:pStyle w:val="ListBullet"/>
      </w:pPr>
      <w:r>
        <w:t>Captures d'écran (avec filigrane)</w:t>
      </w:r>
    </w:p>
    <w:p>
      <w:pPr>
        <w:jc w:val="both"/>
      </w:pPr>
      <w:r>
        <w:t>Revue trimestrielle de la piste d'audit au sein de l'Audit Committee.</w:t>
      </w:r>
    </w:p>
    <w:p>
      <w:pPr>
        <w:jc w:val="both"/>
      </w:pPr>
      <w:r>
        <w:rPr>
          <w:b/>
        </w:rPr>
        <w:t>Date :</w:t>
      </w:r>
      <w:r>
        <w:t xml:space="preserve"> 24.05.2026 </w:t>
      </w:r>
      <w:r>
        <w:rPr>
          <w:b/>
        </w:rPr>
        <w:t>Référence engagement :</w:t>
      </w:r>
      <w:r>
        <w:t xml:space="preserve"> RSFSR-DR-2026 </w:t>
      </w:r>
      <w:r>
        <w:rPr>
          <w:b/>
        </w:rPr>
        <w:t>Center Group Company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