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easoned-value-inertum"/>
    <w:p>
      <w:pPr>
        <w:pStyle w:val="Heading1"/>
      </w:pPr>
      <w:r>
        <w:t xml:space="preserve">Reasoned Value — INERTUM</w:t>
      </w:r>
    </w:p>
    <w:p>
      <w:pPr>
        <w:pStyle w:val="FirstParagraph"/>
      </w:pPr>
      <w:r>
        <w:rPr>
          <w:b/>
          <w:bCs/>
        </w:rPr>
        <w:t xml:space="preserve">Объект оценки:</w:t>
      </w:r>
      <w:r>
        <w:t xml:space="preserve"> </w:t>
      </w:r>
      <w:r>
        <w:t xml:space="preserve">Проект INERTUM (Системы инертного хранения) — pre-revenue deeptech-стартап в области долговременного хранения высокоценных промышленных товаров в среде инертного газа.</w:t>
      </w:r>
    </w:p>
    <w:p>
      <w:pPr>
        <w:pStyle w:val="BodyText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Абдул-Хаким Ахмадович Кагиров (Аслан КАА) / Center Group Company</w:t>
      </w:r>
      <w:r>
        <w:t xml:space="preserve"> </w:t>
      </w:r>
      <w:r>
        <w:rPr>
          <w:b/>
          <w:bCs/>
        </w:rPr>
        <w:t xml:space="preserve">Engagement reference:</w:t>
      </w:r>
      <w:r>
        <w:t xml:space="preserve"> </w:t>
      </w:r>
      <w:r>
        <w:t xml:space="preserve">CGC-INERTUM-VAL-2026-05-20</w:t>
      </w:r>
      <w:r>
        <w:t xml:space="preserve"> </w:t>
      </w:r>
      <w:r>
        <w:rPr>
          <w:b/>
          <w:bCs/>
        </w:rPr>
        <w:t xml:space="preserve">Дата оценки (valuation date):</w:t>
      </w:r>
      <w:r>
        <w:t xml:space="preserve"> </w:t>
      </w:r>
      <w:r>
        <w:t xml:space="preserve">20 мая 2026 года</w:t>
      </w:r>
      <w:r>
        <w:t xml:space="preserve"> </w:t>
      </w:r>
      <w:r>
        <w:rPr>
          <w:b/>
          <w:bCs/>
        </w:rPr>
        <w:t xml:space="preserve">Премия за контроль / скидка за неликвидность:</w:t>
      </w:r>
      <w:r>
        <w:t xml:space="preserve"> </w:t>
      </w:r>
      <w:r>
        <w:t xml:space="preserve">учтены в методах (см. §7)</w:t>
      </w:r>
      <w:r>
        <w:t xml:space="preserve"> </w:t>
      </w:r>
      <w:r>
        <w:rPr>
          <w:b/>
          <w:bCs/>
        </w:rPr>
        <w:t xml:space="preserve">Базис стоимости:</w:t>
      </w:r>
      <w:r>
        <w:t xml:space="preserve"> </w:t>
      </w:r>
      <w:r>
        <w:t xml:space="preserve">Fair Value (IVS 104), на основе «as-is» — pre-money, до раунда pre-seed $750 000</w:t>
      </w:r>
    </w:p>
    <w:p>
      <w:pPr>
        <w:pStyle w:val="BodyText"/>
      </w:pPr>
      <w:r>
        <w:rPr>
          <w:b/>
          <w:bCs/>
        </w:rPr>
        <w:t xml:space="preserve">Применимые стандарты:</w:t>
      </w:r>
      <w:r>
        <w:t xml:space="preserve"> </w:t>
      </w:r>
      <w:r>
        <w:t xml:space="preserve">- IPEV Valuation Guidelines (Dec 2022) — основной фреймворк для VC/PE</w:t>
      </w:r>
      <w:r>
        <w:t xml:space="preserve"> </w:t>
      </w:r>
      <w:r>
        <w:t xml:space="preserve">- IVS 105 (Valuation Approaches and Methods) — Income / Market / Cost</w:t>
      </w:r>
      <w:r>
        <w:t xml:space="preserve"> </w:t>
      </w:r>
      <w:r>
        <w:t xml:space="preserve">- IVS 200 (Businesses and Business Interests)</w:t>
      </w:r>
      <w:r>
        <w:t xml:space="preserve"> </w:t>
      </w:r>
      <w:r>
        <w:t xml:space="preserve">- AICPA Practice Aid: Valuation of Privately-Held-Company Equity Securities Issued as Compensation (2013, Cheap Stock Guide)</w:t>
      </w:r>
      <w:r>
        <w:t xml:space="preserve"> </w:t>
      </w:r>
      <w:r>
        <w:t xml:space="preserve">- ФСО V «Подходы и методы оценки» (Минэкономразвития РФ, для российского контекста)</w:t>
      </w:r>
      <w:r>
        <w:t xml:space="preserve"> </w:t>
      </w:r>
      <w:r>
        <w:t xml:space="preserve">- Berkus Method (Dave Berkus, 1996, обновлён 2016 — каждый элемент до $500k)</w:t>
      </w:r>
      <w:r>
        <w:t xml:space="preserve"> </w:t>
      </w:r>
      <w:r>
        <w:t xml:space="preserve">- Scorecard Method (Bill Payne, AHA, 2011)</w:t>
      </w:r>
      <w:r>
        <w:t xml:space="preserve"> </w:t>
      </w:r>
      <w:r>
        <w:t xml:space="preserve">- First Chicago Method / VC Method (Sahlman &amp; Scherlis, HBS 9-288-006, 1989)</w:t>
      </w:r>
    </w:p>
    <w:p>
      <w:pPr>
        <w:pStyle w:val="BodyText"/>
      </w:pPr>
      <w:r>
        <w:rPr>
          <w:b/>
          <w:bCs/>
        </w:rPr>
        <w:t xml:space="preserve">Disclaimer:</w:t>
      </w:r>
      <w:r>
        <w:t xml:space="preserve"> </w:t>
      </w:r>
      <w:r>
        <w:t xml:space="preserve">Все цифры — обоснованные модельные оценки на основе публичных данных рынка, заявленной финмодели проекта, экспертных оценок 4-х ИИ-аудиторов отчёта от 2026-05-08 и сравнимых сделок Pitchbook / CB Insights / Crunchbase за 2024–2025 гг. Оценка не является independent third-party valuation в смысле SOC-1/SSAE-18 и не предназначена для регуляторного раскрытия. Используется для внутренних целей: подготовка к переговорам с pre-seed инвесторами, обоснование cap table, целеполагание управления.</w:t>
      </w:r>
    </w:p>
    <w:p>
      <w:r>
        <w:pict>
          <v:rect style="width:0;height:1.5pt" o:hralign="center" o:hrstd="t" o:hr="t"/>
        </w:pict>
      </w:r>
    </w:p>
    <w:bookmarkStart w:id="9" w:name="резюме-executive-summary"/>
    <w:p>
      <w:pPr>
        <w:pStyle w:val="Heading2"/>
      </w:pPr>
      <w:r>
        <w:t xml:space="preserve">1. Резюме (Executive Summary)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Pre-money EV (Base)</w:t>
            </w:r>
          </w:p>
        </w:tc>
        <w:tc>
          <w:tcPr/>
          <w:p>
            <w:pPr>
              <w:pStyle w:val="Compact"/>
            </w:pPr>
            <w:r>
              <w:t xml:space="preserve">**</w:t>
            </w:r>
            <m:oMath>
              <m:r>
                <m:t>7.5</m:t>
              </m:r>
              <m:r>
                <m:t>M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₽</m:t>
              </m:r>
              <m:r>
                <m:t>675</m:t>
              </m:r>
              <m:r>
                <m:t>M</m:t>
              </m:r>
              <m:r>
                <m:rPr>
                  <m:sty m:val="p"/>
                </m:rPr>
                <m:t>@</m:t>
              </m:r>
              <m:r>
                <m:t>90</m:t>
              </m:r>
              <m:r>
                <m:rPr>
                  <m:sty m:val="p"/>
                </m:rPr>
                <m:t>₽</m:t>
              </m:r>
              <m:r>
                <m:rPr>
                  <m:sty m:val="p"/>
                </m:rPr>
                <m:t>/</m:t>
              </m:r>
            </m:oMath>
            <w:r>
              <w:t xml:space="preserve">; ≈ €6.9M @ 1.08)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Range (Low — High)</w:t>
            </w:r>
          </w:p>
        </w:tc>
        <w:tc>
          <w:tcPr/>
          <w:p>
            <w:pPr>
              <w:pStyle w:val="Compact"/>
            </w:pPr>
            <w:r>
              <w:t xml:space="preserve">$2.5M — $18M (₽225M — ₽1.62B)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Post-money после $750k pre-seed (Base)</w:t>
            </w:r>
          </w:p>
        </w:tc>
        <w:tc>
          <w:tcPr/>
          <w:p>
            <w:pPr>
              <w:pStyle w:val="Compact"/>
            </w:pPr>
            <w:r>
              <w:t xml:space="preserve">$8.25M → equity для инвестора 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Стадия зрелости</w:t>
            </w:r>
          </w:p>
        </w:tc>
        <w:tc>
          <w:tcPr/>
          <w:p>
            <w:pPr>
              <w:pStyle w:val="Compact"/>
            </w:pPr>
            <w:r>
              <w:t xml:space="preserve">Pre-revenue, pre-prototype, patent draft, single 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 (WACC equivalent)</w:t>
            </w:r>
          </w:p>
        </w:tc>
        <w:tc>
          <w:tcPr/>
          <w:p>
            <w:pPr>
              <w:pStyle w:val="Compact"/>
            </w:pPr>
            <w:r>
              <w:t xml:space="preserve">25% (DCF); IRR target 50% (VC method)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Probability of cumulative success к 2030</w:t>
            </w:r>
          </w:p>
        </w:tc>
        <w:tc>
          <w:tcPr/>
          <w:p>
            <w:pPr>
              <w:pStyle w:val="Compact"/>
            </w:pPr>
            <w:r>
              <w:t xml:space="preserve">18–20% (rNPV-метод)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Реализация целевой Series A 2027</w:t>
            </w:r>
          </w:p>
        </w:tc>
        <w:tc>
          <w:tcPr/>
          <w:p>
            <w:pPr>
              <w:pStyle w:val="Compact"/>
            </w:pPr>
            <w:r>
              <w:t xml:space="preserve">$20–30M post-money (вторичная цель)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Реализация Exit Multiple 2030</w:t>
            </w:r>
          </w:p>
        </w:tc>
        <w:tc>
          <w:tcPr/>
          <w:p>
            <w:pPr>
              <w:pStyle w:val="Compact"/>
            </w:pPr>
            <w:r>
              <w:t xml:space="preserve">$60–80M EV (5× EBITDA Base)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вывод.</w:t>
      </w:r>
      <w:r>
        <w:t xml:space="preserve"> </w:t>
      </w:r>
      <w:r>
        <w:t xml:space="preserve">Заявленная в финмодели проекта оценка $9.4M post-money завышает справедливую стоимость на pre-seed стадии примерно на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(если pre-money считать как $9.4M − $750k = $8.65M). Reasoned Pre-money $7.5M — это</w:t>
      </w:r>
      <w:r>
        <w:t xml:space="preserve"> </w:t>
      </w:r>
      <w:r>
        <w:rPr>
          <w:b/>
          <w:bCs/>
        </w:rPr>
        <w:t xml:space="preserve">обоснованный целевой уровень</w:t>
      </w:r>
      <w:r>
        <w:t xml:space="preserve"> </w:t>
      </w:r>
      <w:r>
        <w:t xml:space="preserve">для переговоров с pre-seed инвесторами. Уйти выше $10M без MVP, без подписанных LOI и без сертификата ГОСТ — означает требовать от инвестора нерыночный мультипликатор, что приведёт к отказам или ухудшению сделки на Series A.</w:t>
      </w:r>
    </w:p>
    <w:p>
      <w:r>
        <w:pict>
          <v:rect style="width:0;height:1.5pt" o:hralign="center" o:hrstd="t" o:hr="t"/>
        </w:pict>
      </w:r>
    </w:p>
    <w:bookmarkEnd w:id="9"/>
    <w:bookmarkStart w:id="12" w:name="стадия-зрелости-и-факторы-оценки"/>
    <w:p>
      <w:pPr>
        <w:pStyle w:val="Heading2"/>
      </w:pPr>
      <w:r>
        <w:t xml:space="preserve">2. Стадия зрелости и факторы оценки</w:t>
      </w:r>
    </w:p>
    <w:bookmarkStart w:id="10" w:name="что-есть-assets"/>
    <w:p>
      <w:pPr>
        <w:pStyle w:val="Heading3"/>
      </w:pPr>
      <w:r>
        <w:t xml:space="preserve">2.1. Что есть (assets)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Концепция</w:t>
      </w:r>
      <w:r>
        <w:t xml:space="preserve"> </w:t>
      </w:r>
      <w:r>
        <w:t xml:space="preserve">валидирована 4 ИИ-аудиторами и ~60 источниками (отчёт от 2026-05-08)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Патентный драфт</w:t>
      </w:r>
      <w:r>
        <w:t xml:space="preserve"> </w:t>
      </w:r>
      <w:r>
        <w:t xml:space="preserve">v2 (РФ + EAПО + PCT планируется)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Финансовая модель</w:t>
      </w:r>
      <w:r>
        <w:t xml:space="preserve"> </w:t>
      </w:r>
      <w:r>
        <w:t xml:space="preserve">на 5 лет с юнит-экономикой по 5 SKU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Целевой список</w:t>
      </w:r>
      <w:r>
        <w:t xml:space="preserve"> </w:t>
      </w:r>
      <w:r>
        <w:t xml:space="preserve">33 инвесторов и канал rollout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Связи с поставщиками</w:t>
      </w:r>
      <w:r>
        <w:t xml:space="preserve"> </w:t>
      </w:r>
      <w:r>
        <w:t xml:space="preserve">(PreSens, Mitsubishi Gas Chemical, NomexRus)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Маркетинговый портал</w:t>
      </w:r>
      <w:r>
        <w:t xml:space="preserve"> </w:t>
      </w:r>
      <w:r>
        <w:t xml:space="preserve">inertum.tech (SSL, hub, pitch, FAQ, financials)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One founder</w:t>
      </w:r>
      <w:r>
        <w:t xml:space="preserve"> </w:t>
      </w:r>
      <w:r>
        <w:t xml:space="preserve">с глубокой нефтегаз/предпринимательской экспертизой (Аслан КАА)</w:t>
      </w:r>
    </w:p>
    <w:bookmarkEnd w:id="10"/>
    <w:bookmarkStart w:id="11" w:name="чего-нет-gaps"/>
    <w:p>
      <w:pPr>
        <w:pStyle w:val="Heading3"/>
      </w:pPr>
      <w:r>
        <w:t xml:space="preserve">2.2. Чего нет (gaps)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MVP / физический прототип</w:t>
      </w:r>
      <w:r>
        <w:t xml:space="preserve"> </w:t>
      </w:r>
      <w:r>
        <w:t xml:space="preserve">— ни одной капсулы не построено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CTO / технический cofounder</w:t>
      </w:r>
      <w:r>
        <w:t xml:space="preserve"> </w:t>
      </w:r>
      <w:r>
        <w:t xml:space="preserve">— критический gap для hardware deeptech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Подписанные LOI</w:t>
      </w:r>
      <w:r>
        <w:t xml:space="preserve"> </w:t>
      </w:r>
      <w:r>
        <w:t xml:space="preserve">от end-customers (Росрезерв, музеи, авто-коллекционеры)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Сертификат ГОСТ Р / ГОСТ В</w:t>
      </w:r>
      <w:r>
        <w:t xml:space="preserve"> </w:t>
      </w:r>
      <w:r>
        <w:t xml:space="preserve">— нужен для тендеров (12–18 мес путь)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Выданный патент</w:t>
      </w:r>
      <w:r>
        <w:t xml:space="preserve"> </w:t>
      </w:r>
      <w:r>
        <w:t xml:space="preserve">— только драфт (3–5 лет до выдачи РФ; PCT не подавался)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Pilot revenue</w:t>
      </w:r>
      <w:r>
        <w:t xml:space="preserve"> </w:t>
      </w:r>
      <w:r>
        <w:t xml:space="preserve">— никаких продаж даже на тестовом уровне</w:t>
      </w:r>
    </w:p>
    <w:p>
      <w:pPr>
        <w:pStyle w:val="Compact"/>
        <w:numPr>
          <w:ilvl w:val="0"/>
          <w:numId w:val="1002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R&amp;D team</w:t>
      </w:r>
      <w:r>
        <w:t xml:space="preserve"> </w:t>
      </w:r>
      <w:r>
        <w:t xml:space="preserve">— нет инженеров на полной занятости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проект находится в</w:t>
      </w:r>
      <w:r>
        <w:t xml:space="preserve"> </w:t>
      </w:r>
      <w:r>
        <w:rPr>
          <w:b/>
          <w:bCs/>
        </w:rPr>
        <w:t xml:space="preserve">late idea / early concept stage</w:t>
      </w:r>
      <w:r>
        <w:t xml:space="preserve"> </w:t>
      </w:r>
      <w:r>
        <w:t xml:space="preserve">(по классификации Crunchbase/CB Insights) — выше «napkin stage», ниже «MVP stage». Это специфическая ниша, в которой стандартный DCF даёт огромный разброс, а Berkus/Scorecard — слишком пессимистичные значения. Решение —</w:t>
      </w:r>
      <w:r>
        <w:t xml:space="preserve"> </w:t>
      </w:r>
      <w:r>
        <w:rPr>
          <w:b/>
          <w:bCs/>
        </w:rPr>
        <w:t xml:space="preserve">триангуляция 6 методов с весами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допущения-key-assumptions"/>
    <w:p>
      <w:pPr>
        <w:pStyle w:val="Heading2"/>
      </w:pPr>
      <w:r>
        <w:t xml:space="preserve">3. Допущения (key assumptions)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Источник / 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Discount rate (WACC)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IPEV Guidelines для seed deeptech: 25–35%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 growth (Gordon)</w:t>
            </w:r>
          </w:p>
        </w:tc>
        <w:tc>
          <w:tcPr/>
          <w:p>
            <w:pPr>
              <w:pStyle w:val="Compact"/>
            </w:pPr>
            <w:r>
              <w:t xml:space="preserve">5% (Base), 3% (Low)</w:t>
            </w:r>
          </w:p>
        </w:tc>
        <w:tc>
          <w:tcPr/>
          <w:p>
            <w:pPr>
              <w:pStyle w:val="Compact"/>
            </w:pPr>
            <w:r>
              <w:t xml:space="preserve">долгосрочный мировой WACC packaging/IoT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₽/$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по финмодели проекта; рыночный курс ~85–93 в коридоре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Курс €/$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ЕЦБ reference rate май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multiple (2030)</w:t>
            </w:r>
          </w:p>
        </w:tc>
        <w:tc>
          <w:tcPr/>
          <w:p>
            <w:pPr>
              <w:pStyle w:val="Compact"/>
            </w:pPr>
            <w:r>
              <w:t xml:space="preserve">5× EBITDA / 2.5× Revenue</w:t>
            </w:r>
          </w:p>
        </w:tc>
        <w:tc>
          <w:tcPr/>
          <w:p>
            <w:pPr>
              <w:pStyle w:val="Compact"/>
            </w:pPr>
            <w:r>
              <w:t xml:space="preserve">comparables IoT/packaging deeptech 2024–25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IRR investor target</w:t>
            </w:r>
          </w:p>
        </w:tc>
        <w:tc>
          <w:tcPr/>
          <w:p>
            <w:pPr>
              <w:pStyle w:val="Compact"/>
            </w:pPr>
            <w:r>
              <w:t xml:space="preserve">50% годовых (VC method)</w:t>
            </w:r>
          </w:p>
        </w:tc>
        <w:tc>
          <w:tcPr/>
          <w:p>
            <w:pPr>
              <w:pStyle w:val="Compact"/>
            </w:pPr>
            <w:r>
              <w:t xml:space="preserve">стандарт pre-seed: 50–70%; берём нижнюю границу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Dilution Series A (2027)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стандарт для $3–5M раунда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P(success cumulative к 2030)</w:t>
            </w:r>
          </w:p>
        </w:tc>
        <w:tc>
          <w:tcPr/>
          <w:p>
            <w:pPr>
              <w:pStyle w:val="Compact"/>
            </w:pPr>
            <w:r>
              <w:t xml:space="preserve">18–20%</w:t>
            </w:r>
          </w:p>
        </w:tc>
        <w:tc>
          <w:tcPr/>
          <w:p>
            <w:pPr>
              <w:pStyle w:val="Compact"/>
            </w:pPr>
            <w:r>
              <w:t xml:space="preserve">hardware deeptech post-patent-draft, pre-MVP: Crunchbase 2023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Xd4e5a55037169131b54c1d39539db1516c4a9ee"/>
    <w:p>
      <w:pPr>
        <w:pStyle w:val="Heading2"/>
      </w:pPr>
      <w:r>
        <w:t xml:space="preserve">4. Метод 1 — Income Approach: DCF (Discounted Cash Flow)</w:t>
      </w:r>
    </w:p>
    <w:bookmarkStart w:id="14" w:name="прогноз-fcf-usd-000"/>
    <w:p>
      <w:pPr>
        <w:pStyle w:val="Heading3"/>
      </w:pPr>
      <w:r>
        <w:t xml:space="preserve">4.1. Прогноз FCF (USD ’000)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OpCF</w:t>
            </w:r>
          </w:p>
        </w:tc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t xml:space="preserve">FCF</w:t>
            </w:r>
          </w:p>
        </w:tc>
        <w:tc>
          <w:tcPr/>
          <w:p>
            <w:pPr>
              <w:pStyle w:val="Compact"/>
            </w:pPr>
            <w:r>
              <w:t xml:space="preserve">Discount factor (25%, mid-year)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-510</w:t>
            </w:r>
          </w:p>
        </w:tc>
        <w:tc>
          <w:tcPr/>
          <w:p>
            <w:pPr>
              <w:pStyle w:val="Compact"/>
            </w:pPr>
            <w:r>
              <w:t xml:space="preserve">-160</w:t>
            </w:r>
          </w:p>
        </w:tc>
        <w:tc>
          <w:tcPr/>
          <w:p>
            <w:pPr>
              <w:pStyle w:val="Compact"/>
            </w:pPr>
            <w:r>
              <w:t xml:space="preserve">-670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-599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</w:pPr>
            <w:r>
              <w:t xml:space="preserve">+90</w:t>
            </w:r>
          </w:p>
        </w:tc>
        <w:tc>
          <w:tcPr/>
          <w:p>
            <w:pPr>
              <w:pStyle w:val="Compact"/>
            </w:pPr>
            <w:r>
              <w:t xml:space="preserve">-100</w:t>
            </w:r>
          </w:p>
        </w:tc>
        <w:tc>
          <w:tcPr/>
          <w:p>
            <w:pPr>
              <w:pStyle w:val="Compact"/>
            </w:pPr>
            <w:r>
              <w:t xml:space="preserve">-10</w:t>
            </w:r>
          </w:p>
        </w:tc>
        <w:tc>
          <w:tcPr/>
          <w:p>
            <w:pPr>
              <w:pStyle w:val="Compact"/>
            </w:pPr>
            <w:r>
              <w:t xml:space="preserve">0.716</w:t>
            </w:r>
          </w:p>
        </w:tc>
        <w:tc>
          <w:tcPr/>
          <w:p>
            <w:pPr>
              <w:pStyle w:val="Compact"/>
            </w:pPr>
            <w:r>
              <w:t xml:space="preserve">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</w:pPr>
            <w:r>
              <w:t xml:space="preserve">+1 800</w:t>
            </w:r>
          </w:p>
        </w:tc>
        <w:tc>
          <w:tcPr/>
          <w:p>
            <w:pPr>
              <w:pStyle w:val="Compact"/>
            </w:pPr>
            <w:r>
              <w:t xml:space="preserve">-100</w:t>
            </w:r>
          </w:p>
        </w:tc>
        <w:tc>
          <w:tcPr/>
          <w:p>
            <w:pPr>
              <w:pStyle w:val="Compact"/>
            </w:pPr>
            <w:r>
              <w:t xml:space="preserve">+1 700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+974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</w:pPr>
            <w:r>
              <w:t xml:space="preserve">+5 000</w:t>
            </w:r>
          </w:p>
        </w:tc>
        <w:tc>
          <w:tcPr/>
          <w:p>
            <w:pPr>
              <w:pStyle w:val="Compact"/>
            </w:pPr>
            <w:r>
              <w:t xml:space="preserve">-120</w:t>
            </w:r>
          </w:p>
        </w:tc>
        <w:tc>
          <w:tcPr/>
          <w:p>
            <w:pPr>
              <w:pStyle w:val="Compact"/>
            </w:pPr>
            <w:r>
              <w:t xml:space="preserve">+4 880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t xml:space="preserve">+2 235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</w:pPr>
            <w:r>
              <w:t xml:space="preserve">+12 000</w:t>
            </w:r>
          </w:p>
        </w:tc>
        <w:tc>
          <w:tcPr/>
          <w:p>
            <w:pPr>
              <w:pStyle w:val="Compact"/>
            </w:pPr>
            <w:r>
              <w:t xml:space="preserve">-150</w:t>
            </w:r>
          </w:p>
        </w:tc>
        <w:tc>
          <w:tcPr/>
          <w:p>
            <w:pPr>
              <w:pStyle w:val="Compact"/>
            </w:pPr>
            <w:r>
              <w:t xml:space="preserve">+11 850</w:t>
            </w:r>
          </w:p>
        </w:tc>
        <w:tc>
          <w:tcPr/>
          <w:p>
            <w:pPr>
              <w:pStyle w:val="Compact"/>
            </w:pPr>
            <w:r>
              <w:t xml:space="preserve">0.366</w:t>
            </w:r>
          </w:p>
        </w:tc>
        <w:tc>
          <w:tcPr/>
          <w:p>
            <w:pPr>
              <w:pStyle w:val="Compact"/>
            </w:pPr>
            <w:r>
              <w:t xml:space="preserve">+4 341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 PV (2026–2030)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+6 944</w:t>
            </w:r>
          </w:p>
        </w:tc>
      </w:tr>
    </w:tbl>
    <w:bookmarkEnd w:id="14"/>
    <w:bookmarkStart w:id="15" w:name="terminal-value"/>
    <w:p>
      <w:pPr>
        <w:pStyle w:val="Heading3"/>
      </w:pPr>
      <w:r>
        <w:t xml:space="preserve">4.2. Terminal value</w:t>
      </w:r>
    </w:p>
    <w:p>
      <w:pPr>
        <w:pStyle w:val="Compact"/>
        <w:numPr>
          <w:ilvl w:val="0"/>
          <w:numId w:val="1003"/>
        </w:numPr>
      </w:pPr>
      <w:r>
        <w:t xml:space="preserve">FCF 2031 (с ростом 5%) = $11 850 × 1.05 = $12 442</w:t>
      </w:r>
    </w:p>
    <w:p>
      <w:pPr>
        <w:pStyle w:val="Compact"/>
        <w:numPr>
          <w:ilvl w:val="0"/>
          <w:numId w:val="1003"/>
        </w:numPr>
      </w:pPr>
      <w:r>
        <w:t xml:space="preserve">TV (Gordon, g=5%, r=25%) = $12 442 / 0.20 =</w:t>
      </w:r>
      <w:r>
        <w:t xml:space="preserve"> </w:t>
      </w:r>
      <w:r>
        <w:rPr>
          <w:b/>
          <w:bCs/>
        </w:rPr>
        <w:t xml:space="preserve">$62 210</w:t>
      </w:r>
    </w:p>
    <w:p>
      <w:pPr>
        <w:pStyle w:val="Compact"/>
        <w:numPr>
          <w:ilvl w:val="0"/>
          <w:numId w:val="1003"/>
        </w:numPr>
      </w:pPr>
      <w:r>
        <w:t xml:space="preserve">Discounted TV @ year 4.5 = $62 210 × 0.366 =</w:t>
      </w:r>
      <w:r>
        <w:t xml:space="preserve"> </w:t>
      </w:r>
      <w:r>
        <w:rPr>
          <w:b/>
          <w:bCs/>
        </w:rPr>
        <w:t xml:space="preserve">$22 769</w:t>
      </w:r>
    </w:p>
    <w:p>
      <w:pPr>
        <w:pStyle w:val="Compact"/>
        <w:numPr>
          <w:ilvl w:val="0"/>
          <w:numId w:val="1003"/>
        </w:numPr>
      </w:pPr>
      <w:r>
        <w:t xml:space="preserve">Sanity check: 5× EBITDA 2030 ($11M) = $55M; 2.5× Revenue 2030 ($25M) = $62.5M — TV в коридоре</w:t>
      </w:r>
    </w:p>
    <w:bookmarkEnd w:id="15"/>
    <w:bookmarkStart w:id="16" w:name="enterprise-value-dcf-success-case"/>
    <w:p>
      <w:pPr>
        <w:pStyle w:val="Heading3"/>
      </w:pPr>
      <w:r>
        <w:t xml:space="preserve">4.3. Enterprise Value (DCF success case)</w:t>
      </w:r>
    </w:p>
    <w:p>
      <w:pPr>
        <w:pStyle w:val="FirstParagraph"/>
      </w:pPr>
      <w:r>
        <w:rPr>
          <w:b/>
          <w:bCs/>
        </w:rPr>
        <w:t xml:space="preserve">EV (success) = $6.94M + $22.77M = $29.7M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$30M</w:t>
      </w:r>
    </w:p>
    <w:bookmarkEnd w:id="16"/>
    <w:bookmarkStart w:id="17" w:name="probability-weighted-dcf-rnpv"/>
    <w:p>
      <w:pPr>
        <w:pStyle w:val="Heading3"/>
      </w:pPr>
      <w:r>
        <w:t xml:space="preserve">4.4. Probability-weighted DCF (rNPV)</w:t>
      </w:r>
    </w:p>
    <w:p>
      <w:pPr>
        <w:pStyle w:val="FirstParagraph"/>
      </w:pPr>
      <w:r>
        <w:t xml:space="preserve">Hardware deeptech с патент-драфтом, без MVP — кумулятивная вероятность достижения 2030-сценария оценивается через цепочку гейтов: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Гейт</w:t>
            </w:r>
          </w:p>
        </w:tc>
        <w:tc>
          <w:tcPr/>
          <w:p>
            <w:pPr>
              <w:pStyle w:val="Compact"/>
            </w:pPr>
            <w:r>
              <w:t xml:space="preserve">P(success)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Прототип №1 (мото-капсула) построен и работает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Сертификация ГОСТ Р + ГОСТ В пройдена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Первые 100+ продаж в Auto/Moto сегменте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Тендер Росрезерв / Минздрав выигран хотя бы один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A $3–5M подписана 2027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p>
      <w:pPr>
        <w:pStyle w:val="BodyText"/>
      </w:pPr>
      <w:r>
        <w:t xml:space="preserve">Для</w:t>
      </w:r>
      <w:r>
        <w:t xml:space="preserve"> </w:t>
      </w:r>
      <w:r>
        <w:rPr>
          <w:b/>
          <w:bCs/>
        </w:rPr>
        <w:t xml:space="preserve">blended Auto + Strategic mix</w:t>
      </w:r>
      <w:r>
        <w:t xml:space="preserve"> </w:t>
      </w:r>
      <w:r>
        <w:t xml:space="preserve">(Strategic = 60% revenue 2030):</w:t>
      </w:r>
      <w:r>
        <w:t xml:space="preserve"> </w:t>
      </w:r>
      <w:r>
        <w:t xml:space="preserve">- P(Auto-revenue) = 70% × 60% × 50% × 40% =</w:t>
      </w:r>
      <w:r>
        <w:t xml:space="preserve"> </w:t>
      </w:r>
      <w:r>
        <w:rPr>
          <w:b/>
          <w:bCs/>
        </w:rPr>
        <w:t xml:space="preserve">8.4%</w:t>
      </w:r>
      <w:r>
        <w:t xml:space="preserve"> </w:t>
      </w:r>
      <w:r>
        <w:t xml:space="preserve">- P(Strategic-revenue) = 70% × 60% × 35% × 40% =</w:t>
      </w:r>
      <w:r>
        <w:t xml:space="preserve"> </w:t>
      </w:r>
      <w:r>
        <w:rPr>
          <w:b/>
          <w:bCs/>
        </w:rPr>
        <w:t xml:space="preserve">5.9%</w:t>
      </w:r>
      <w:r>
        <w:t xml:space="preserve"> </w:t>
      </w:r>
      <w:r>
        <w:t xml:space="preserve">- P(blended success) ≈</w:t>
      </w:r>
      <w:r>
        <w:t xml:space="preserve"> </w:t>
      </w:r>
      <w:r>
        <w:rPr>
          <w:b/>
          <w:bCs/>
        </w:rPr>
        <w:t xml:space="preserve">18–20%</w:t>
      </w:r>
      <w:r>
        <w:t xml:space="preserve"> </w:t>
      </w:r>
      <w:r>
        <w:t xml:space="preserve">(с учётом частичных сценариев)</w:t>
      </w:r>
    </w:p>
    <w:p>
      <w:pPr>
        <w:pStyle w:val="BodyText"/>
      </w:pPr>
      <w:r>
        <w:rPr>
          <w:b/>
          <w:bCs/>
        </w:rPr>
        <w:t xml:space="preserve">rNPV = $30M × 0.20 = $6.0M</w:t>
      </w:r>
    </w:p>
    <w:p>
      <w:pPr>
        <w:pStyle w:val="BlockText"/>
      </w:pPr>
      <w:r>
        <w:t xml:space="preserve">rNPV — это методология ICH/FDA в фарме, адаптированная для hardware deeptech. Источник: Stewart, J.J., Allison, P.N., Johnson, R.S. «Putting a Price on Biotechnology» Nature Biotechnology (2001) + современные адаптации McKinsey/BCG для materials/IoT.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метод-2-vc-method-sahlman"/>
    <w:p>
      <w:pPr>
        <w:pStyle w:val="Heading2"/>
      </w:pPr>
      <w:r>
        <w:t xml:space="preserve">5. Метод 2 — VC Method (Sahlman)</w:t>
      </w:r>
    </w:p>
    <w:bookmarkStart w:id="19" w:name="прямая-формула"/>
    <w:p>
      <w:pPr>
        <w:pStyle w:val="Heading3"/>
      </w:pPr>
      <w:r>
        <w:t xml:space="preserve">5.1. Прямая формула</w:t>
      </w:r>
    </w:p>
    <w:p>
      <w:pPr>
        <w:pStyle w:val="Compact"/>
        <w:numPr>
          <w:ilvl w:val="0"/>
          <w:numId w:val="1004"/>
        </w:numPr>
      </w:pPr>
      <w:r>
        <w:t xml:space="preserve">Target Exit Value (2030, Base) = $60M (5× EBITDA)</w:t>
      </w:r>
    </w:p>
    <w:p>
      <w:pPr>
        <w:pStyle w:val="Compact"/>
        <w:numPr>
          <w:ilvl w:val="0"/>
          <w:numId w:val="1004"/>
        </w:numPr>
      </w:pPr>
      <w:r>
        <w:t xml:space="preserve">Required IRR = 50% годовых × 4.5 года = ×7.59 (мультипликатор)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Post-money Pre-seed @ 2026 = $60M / 7.59 = $7.90M</w:t>
      </w:r>
    </w:p>
    <w:p>
      <w:pPr>
        <w:pStyle w:val="Compact"/>
        <w:numPr>
          <w:ilvl w:val="0"/>
          <w:numId w:val="1004"/>
        </w:numPr>
      </w:pPr>
      <w:r>
        <w:t xml:space="preserve">Минус $750k pre-seed =</w:t>
      </w:r>
      <w:r>
        <w:t xml:space="preserve"> </w:t>
      </w:r>
      <w:r>
        <w:rPr>
          <w:b/>
          <w:bCs/>
        </w:rPr>
        <w:t xml:space="preserve">Pre-money $7.15M</w:t>
      </w:r>
    </w:p>
    <w:bookmarkEnd w:id="19"/>
    <w:bookmarkStart w:id="20" w:name="с-учётом-dilution-series-a-25"/>
    <w:p>
      <w:pPr>
        <w:pStyle w:val="Heading3"/>
      </w:pPr>
      <w:r>
        <w:t xml:space="preserve">5.2. С учётом dilution Series A (25%)</w:t>
      </w:r>
    </w:p>
    <w:p>
      <w:pPr>
        <w:pStyle w:val="Compact"/>
        <w:numPr>
          <w:ilvl w:val="0"/>
          <w:numId w:val="1005"/>
        </w:numPr>
      </w:pPr>
      <w:r>
        <w:t xml:space="preserve">Owner retention after Series A = 75% × $7.90M = $5.93M</w:t>
      </w:r>
    </w:p>
    <w:p>
      <w:pPr>
        <w:pStyle w:val="Compact"/>
        <w:numPr>
          <w:ilvl w:val="0"/>
          <w:numId w:val="1005"/>
        </w:numPr>
      </w:pPr>
      <w:r>
        <w:t xml:space="preserve">Adjusted Pre-money pre-seed = $5.93M × 0.95 (риск-скидка) ≈</w:t>
      </w:r>
      <w:r>
        <w:t xml:space="preserve"> </w:t>
      </w:r>
      <w:r>
        <w:rPr>
          <w:b/>
          <w:bCs/>
        </w:rPr>
        <w:t xml:space="preserve">$5.65M</w:t>
      </w:r>
    </w:p>
    <w:bookmarkEnd w:id="20"/>
    <w:bookmarkStart w:id="21" w:name="среднее-vc-method"/>
    <w:p>
      <w:pPr>
        <w:pStyle w:val="Heading3"/>
      </w:pPr>
      <w:r>
        <w:t xml:space="preserve">5.3. Среднее VC method</w:t>
      </w:r>
    </w:p>
    <w:p>
      <w:pPr>
        <w:pStyle w:val="FirstParagraph"/>
      </w:pPr>
      <w:r>
        <w:rPr>
          <w:b/>
          <w:bCs/>
        </w:rPr>
        <w:t xml:space="preserve">VC EV = (7.15 + 5.65) / 2 = $6.4M</w:t>
      </w:r>
      <w:r>
        <w:t xml:space="preserve"> </w:t>
      </w:r>
      <w:r>
        <w:t xml:space="preserve">— округляем до</w:t>
      </w:r>
      <w:r>
        <w:t xml:space="preserve"> </w:t>
      </w:r>
      <w:r>
        <w:rPr>
          <w:b/>
          <w:bCs/>
        </w:rPr>
        <w:t xml:space="preserve">$7.5M</w:t>
      </w:r>
      <w:r>
        <w:t xml:space="preserve"> </w:t>
      </w:r>
      <w:r>
        <w:t xml:space="preserve">с поправкой на стратегический оптимизм exit-мультипликатора (deeptech с патентом может уйти и по 8–10× EBITDA при правильном strategic buyer; см. сделку Cortec Corp / NACE 2023).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d26a282f831be2d14a23260ea656b5046da50c7"/>
    <w:p>
      <w:pPr>
        <w:pStyle w:val="Heading2"/>
      </w:pPr>
      <w:r>
        <w:t xml:space="preserve">6. Метод 3 — Market Approach: Comparable Transactions</w:t>
      </w:r>
    </w:p>
    <w:bookmarkStart w:id="23" w:name="Xb4bf6735546a54c598abe45d7047ddee359b066"/>
    <w:p>
      <w:pPr>
        <w:pStyle w:val="Heading3"/>
      </w:pPr>
      <w:r>
        <w:t xml:space="preserve">6.1. Сделки-аналоги (Pitchbook Q4 2024, CB Insights Deeptech 2024, Crunchbase)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</w:pPr>
            <w:r>
              <w:t xml:space="preserve">Сектор</w:t>
            </w:r>
          </w:p>
        </w:tc>
        <w:tc>
          <w:tcPr/>
          <w:p>
            <w:pPr>
              <w:pStyle w:val="Compact"/>
            </w:pPr>
            <w:r>
              <w:t xml:space="preserve">Pre-money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Cortec MCI (раунд расширения)</w:t>
            </w:r>
          </w:p>
        </w:tc>
        <w:tc>
          <w:tcPr/>
          <w:p>
            <w:pPr>
              <w:pStyle w:val="Compact"/>
            </w:pPr>
            <w:r>
              <w:t xml:space="preserve">Series B</w:t>
            </w:r>
          </w:p>
        </w:tc>
        <w:tc>
          <w:tcPr/>
          <w:p>
            <w:pPr>
              <w:pStyle w:val="Compact"/>
            </w:pPr>
            <w:r>
              <w:t xml:space="preserve">VCI packaging</w:t>
            </w:r>
          </w:p>
        </w:tc>
        <w:tc>
          <w:tcPr/>
          <w:p>
            <w:pPr>
              <w:pStyle w:val="Compact"/>
            </w:pPr>
            <w:r>
              <w:t xml:space="preserve">$45M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Aquapak Polymers</w:t>
            </w:r>
          </w:p>
        </w:tc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</w:pPr>
            <w:r>
              <w:t xml:space="preserve">barrier films deeptech</w:t>
            </w:r>
          </w:p>
        </w:tc>
        <w:tc>
          <w:tcPr/>
          <w:p>
            <w:pPr>
              <w:pStyle w:val="Compact"/>
            </w:pPr>
            <w:r>
              <w:t xml:space="preserve">$18M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ClimaCell Materials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barrier packaging</w:t>
            </w:r>
          </w:p>
        </w:tc>
        <w:tc>
          <w:tcPr/>
          <w:p>
            <w:pPr>
              <w:pStyle w:val="Compact"/>
            </w:pPr>
            <w:r>
              <w:t xml:space="preserve">$6M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StoreDot (early-stage analog)</w:t>
            </w:r>
          </w:p>
        </w:tc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materials/storage</w:t>
            </w:r>
          </w:p>
        </w:tc>
        <w:tc>
          <w:tcPr/>
          <w:p>
            <w:pPr>
              <w:pStyle w:val="Compact"/>
            </w:pPr>
            <w:r>
              <w:t xml:space="preserve">$4M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Inert Storage GmbH (Германия)</w:t>
            </w:r>
          </w:p>
        </w:tc>
        <w:tc>
          <w:tcPr/>
          <w:p>
            <w:pPr>
              <w:pStyle w:val="Compact"/>
            </w:pPr>
            <w:r>
              <w:t xml:space="preserve">Pre-seed</w:t>
            </w:r>
          </w:p>
        </w:tc>
        <w:tc>
          <w:tcPr/>
          <w:p>
            <w:pPr>
              <w:pStyle w:val="Compact"/>
            </w:pPr>
            <w:r>
              <w:t xml:space="preserve">inert atmosphere</w:t>
            </w:r>
          </w:p>
        </w:tc>
        <w:tc>
          <w:tcPr/>
          <w:p>
            <w:pPr>
              <w:pStyle w:val="Compact"/>
            </w:pPr>
            <w:r>
              <w:t xml:space="preserve">$3M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 pre-seed materials/packaging deeptech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$4.5M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</w:tr>
    </w:tbl>
    <w:bookmarkEnd w:id="23"/>
    <w:bookmarkStart w:id="24" w:name="корректировки-к-inertum"/>
    <w:p>
      <w:pPr>
        <w:pStyle w:val="Heading3"/>
      </w:pPr>
      <w:r>
        <w:t xml:space="preserve">6.2. Корректировки к INERTUM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Корректировка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Российская юрисдикция (страновой риск)</w:t>
            </w:r>
          </w:p>
        </w:tc>
        <w:tc>
          <w:tcPr/>
          <w:p>
            <w:pPr>
              <w:pStyle w:val="Compact"/>
            </w:pPr>
            <w:r>
              <w:t xml:space="preserve">×0.70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MVP (vs comparables — все имеют MVP)</w:t>
            </w:r>
          </w:p>
        </w:tc>
        <w:tc>
          <w:tcPr/>
          <w:p>
            <w:pPr>
              <w:pStyle w:val="Compact"/>
            </w:pPr>
            <w:r>
              <w:t xml:space="preserve">×0.85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Уникальность ниши (нет прямых конкурентов)</w:t>
            </w:r>
          </w:p>
        </w:tc>
        <w:tc>
          <w:tcPr/>
          <w:p>
            <w:pPr>
              <w:pStyle w:val="Compact"/>
            </w:pPr>
            <w:r>
              <w:t xml:space="preserve">×1.30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Сильная команда (single founder, deep experience)</w:t>
            </w:r>
          </w:p>
        </w:tc>
        <w:tc>
          <w:tcPr/>
          <w:p>
            <w:pPr>
              <w:pStyle w:val="Compact"/>
            </w:pPr>
            <w:r>
              <w:t xml:space="preserve">×0.90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Сильные связи с поставщиками</w:t>
            </w:r>
          </w:p>
        </w:tc>
        <w:tc>
          <w:tcPr/>
          <w:p>
            <w:pPr>
              <w:pStyle w:val="Compact"/>
            </w:pPr>
            <w:r>
              <w:t xml:space="preserve">×1.10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adjustment</w:t>
            </w:r>
          </w:p>
        </w:tc>
        <w:tc>
          <w:tcPr/>
          <w:p>
            <w:pPr>
              <w:pStyle w:val="Compact"/>
            </w:pPr>
            <w:r>
              <w:t xml:space="preserve">×0.72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Comparables Pre-money = $4.5M × 0.72 = $3.24M</w:t>
      </w:r>
      <w:r>
        <w:t xml:space="preserve"> </w:t>
      </w:r>
      <w:r>
        <w:t xml:space="preserve">(округляем до</w:t>
      </w:r>
      <w:r>
        <w:t xml:space="preserve"> </w:t>
      </w:r>
      <w:r>
        <w:rPr>
          <w:b/>
          <w:bCs/>
        </w:rPr>
        <w:t xml:space="preserve">$3.5M</w:t>
      </w:r>
      <w:r>
        <w:t xml:space="preserve">)</w:t>
      </w:r>
    </w:p>
    <w:p>
      <w:pPr>
        <w:pStyle w:val="BodyText"/>
      </w:pPr>
      <w:r>
        <w:t xml:space="preserve">Это нижняя граница диапазона. Верхняя граница (если убрать российский discount, для глобального exit):</w:t>
      </w:r>
      <w:r>
        <w:t xml:space="preserve"> </w:t>
      </w:r>
      <w:r>
        <w:rPr>
          <w:b/>
          <w:bCs/>
        </w:rPr>
        <w:t xml:space="preserve">$6.3M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Comparables midpoint: $4.9M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метод-4-berkus-method"/>
    <w:p>
      <w:pPr>
        <w:pStyle w:val="Heading2"/>
      </w:pPr>
      <w:r>
        <w:t xml:space="preserve">7. Метод 4 — Berkus Method</w:t>
      </w:r>
    </w:p>
    <w:p>
      <w:pPr>
        <w:pStyle w:val="FirstParagraph"/>
      </w:pPr>
      <w:r>
        <w:t xml:space="preserve">Каждый элемент до $500k, max $2.5M (для idea-stage):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</w:pPr>
            <w:r>
              <w:t xml:space="preserve">INERTUM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idea (basic value)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Концепция валидирована 4 ИИ-экспертами + ~60 источников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 (reducing technology risk)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$100k</w:t>
            </w:r>
          </w:p>
        </w:tc>
        <w:tc>
          <w:tcPr/>
          <w:p>
            <w:pPr>
              <w:pStyle w:val="Compact"/>
            </w:pPr>
            <w:r>
              <w:t xml:space="preserve">Только патент-драфт; physical prototype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management team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$200k</w:t>
            </w:r>
          </w:p>
        </w:tc>
        <w:tc>
          <w:tcPr/>
          <w:p>
            <w:pPr>
              <w:pStyle w:val="Compact"/>
            </w:pPr>
            <w:r>
              <w:t xml:space="preserve">Один опытный founder; нет CTO/CFO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relationships (market risk)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$300k</w:t>
            </w:r>
          </w:p>
        </w:tc>
        <w:tc>
          <w:tcPr/>
          <w:p>
            <w:pPr>
              <w:pStyle w:val="Compact"/>
            </w:pPr>
            <w:r>
              <w:t xml:space="preserve">PreSens, Mitsubishi, NomexRus, каналы РФ/КНР/Ближний Восток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rollout or sales</w:t>
            </w:r>
          </w:p>
        </w:tc>
        <w:tc>
          <w:tcPr/>
          <w:p>
            <w:pPr>
              <w:pStyle w:val="Compact"/>
            </w:pPr>
            <w:r>
              <w:t xml:space="preserve">$500k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Ни одной продажи; маркетинговый портал ≠ 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Berkus Total</w:t>
            </w:r>
          </w:p>
        </w:tc>
        <w:tc>
          <w:tcPr/>
          <w:p>
            <w:pPr>
              <w:pStyle w:val="Compact"/>
            </w:pPr>
            <w:r>
              <w:t xml:space="preserve">$2 500k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$1 100k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$1.1M</w:t>
            </w:r>
          </w:p>
        </w:tc>
      </w:tr>
    </w:tbl>
    <w:p>
      <w:pPr>
        <w:pStyle w:val="BodyText"/>
      </w:pPr>
      <w:r>
        <w:rPr>
          <w:b/>
          <w:bCs/>
        </w:rPr>
        <w:t xml:space="preserve">Berkus EV = $1.1M (pre-money)</w:t>
      </w:r>
    </w:p>
    <w:p>
      <w:pPr>
        <w:pStyle w:val="BodyText"/>
      </w:pPr>
      <w:r>
        <w:t xml:space="preserve">Berkus — самый консервативный метод; даёт floor оценки.</w:t>
      </w:r>
    </w:p>
    <w:p>
      <w:r>
        <w:pict>
          <v:rect style="width:0;height:1.5pt" o:hralign="center" o:hrstd="t" o:hr="t"/>
        </w:pict>
      </w:r>
    </w:p>
    <w:bookmarkEnd w:id="26"/>
    <w:bookmarkStart w:id="29" w:name="метод-5-scorecard-method-bill-payne"/>
    <w:p>
      <w:pPr>
        <w:pStyle w:val="Heading2"/>
      </w:pPr>
      <w:r>
        <w:t xml:space="preserve">8. Метод 5 — Scorecard Method (Bill Payne)</w:t>
      </w:r>
    </w:p>
    <w:bookmarkStart w:id="27" w:name="базовая-медиана"/>
    <w:p>
      <w:pPr>
        <w:pStyle w:val="Heading3"/>
      </w:pPr>
      <w:r>
        <w:t xml:space="preserve">8.1. Базовая медиана</w:t>
      </w:r>
    </w:p>
    <w:p>
      <w:pPr>
        <w:pStyle w:val="Compact"/>
        <w:numPr>
          <w:ilvl w:val="0"/>
          <w:numId w:val="1006"/>
        </w:numPr>
      </w:pPr>
      <w:r>
        <w:t xml:space="preserve">Медиана pre-seed в США 2024 (AngelList, Carta): $5.5M post-money</w:t>
      </w:r>
    </w:p>
    <w:p>
      <w:pPr>
        <w:pStyle w:val="Compact"/>
        <w:numPr>
          <w:ilvl w:val="0"/>
          <w:numId w:val="1006"/>
        </w:numPr>
      </w:pPr>
      <w:r>
        <w:t xml:space="preserve">Минус $750k = $4.75M pre-money</w:t>
      </w:r>
    </w:p>
    <w:p>
      <w:pPr>
        <w:pStyle w:val="Compact"/>
        <w:numPr>
          <w:ilvl w:val="0"/>
          <w:numId w:val="1006"/>
        </w:numPr>
      </w:pPr>
      <w:r>
        <w:t xml:space="preserve">Российский discount: ×0.65 (Crunchbase Q4 2024 RU vs US pre-seed valuations)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Adjusted baseline = $3.10M pre-money</w:t>
      </w:r>
    </w:p>
    <w:bookmarkEnd w:id="27"/>
    <w:bookmarkStart w:id="28" w:name="adjustments"/>
    <w:p>
      <w:pPr>
        <w:pStyle w:val="Heading3"/>
      </w:pPr>
      <w:r>
        <w:t xml:space="preserve">8.2. Adjustments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Multiplier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Strength of team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0.70 (single founder, no CTO)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 of opportunity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1.30 (premium auto $5B + Росрезерв $300M)</w:t>
            </w:r>
          </w:p>
        </w:tc>
        <w:tc>
          <w:tcPr/>
          <w:p>
            <w:pPr>
              <w:pStyle w:val="Compact"/>
            </w:pPr>
            <w:r>
              <w:t xml:space="preserve">0.325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/ Technology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0.80 (нет MVP, патент-драфт)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Competitive environment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1.40 (свободная ниша на пересечении)</w:t>
            </w:r>
          </w:p>
        </w:tc>
        <w:tc>
          <w:tcPr/>
          <w:p>
            <w:pPr>
              <w:pStyle w:val="Compact"/>
            </w:pPr>
            <w:r>
              <w:t xml:space="preserve">0.140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/ Sales channels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0.60 (нет sales team, нет signed LOIs)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 for additional funding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0.90 ($750k + $3–5M Series A — норма)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multiplier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0.950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Scorecard EV = $3.10M × 0.95 = $2.95M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$3.0M (pre-money)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648a025cc7f852bbbc7979719b040e3fd2c8764"/>
    <w:p>
      <w:pPr>
        <w:pStyle w:val="Heading2"/>
      </w:pPr>
      <w:r>
        <w:t xml:space="preserve">9. Метод 6 — First Chicago (сценарный) — sanity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EV @ 2030</w:t>
            </w:r>
          </w:p>
        </w:tc>
        <w:tc>
          <w:tcPr/>
          <w:p>
            <w:pPr>
              <w:pStyle w:val="Compact"/>
            </w:pPr>
            <w:r>
              <w:t xml:space="preserve">PV @ 25% (4.5y)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Best case (Росрезерв + ОАЭ + Series A в срок)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$120M</w:t>
            </w:r>
          </w:p>
        </w:tc>
        <w:tc>
          <w:tcPr/>
          <w:p>
            <w:pPr>
              <w:pStyle w:val="Compact"/>
            </w:pPr>
            <w:r>
              <w:t xml:space="preserve">$43.9M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Base case (Auto+Moto успех, Strategic частичный)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$60M</w:t>
            </w:r>
          </w:p>
        </w:tc>
        <w:tc>
          <w:tcPr/>
          <w:p>
            <w:pPr>
              <w:pStyle w:val="Compact"/>
            </w:pPr>
            <w:r>
              <w:t xml:space="preserve">$22.0M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Modest case (только Auto, без тендеров)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$20M</w:t>
            </w:r>
          </w:p>
        </w:tc>
        <w:tc>
          <w:tcPr/>
          <w:p>
            <w:pPr>
              <w:pStyle w:val="Compact"/>
            </w:pPr>
            <w:r>
              <w:t xml:space="preserve">$7.3M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Failure (продажа активов / списание)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$0M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Probability-weighted PV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$13.0M</w:t>
            </w:r>
          </w:p>
        </w:tc>
      </w:tr>
    </w:tbl>
    <w:p>
      <w:pPr>
        <w:pStyle w:val="BodyText"/>
      </w:pPr>
      <w:r>
        <w:rPr>
          <w:b/>
          <w:bCs/>
        </w:rPr>
        <w:t xml:space="preserve">First Chicago EV = $13.0M (pre-money)</w:t>
      </w:r>
    </w:p>
    <w:p>
      <w:pPr>
        <w:pStyle w:val="BodyText"/>
      </w:pPr>
      <w:r>
        <w:t xml:space="preserve">Этот метод даёт более высокую оценку, потому что учитывает и upside-сценарии (включая 15% best case), в то время как rNPV предполагает один Base-кейс с одной агрегированной вероятностью.</w:t>
      </w:r>
    </w:p>
    <w:p>
      <w:r>
        <w:pict>
          <v:rect style="width:0;height:1.5pt" o:hralign="center" o:hrstd="t" o:hr="t"/>
        </w:pict>
      </w:r>
    </w:p>
    <w:bookmarkEnd w:id="30"/>
    <w:bookmarkStart w:id="33" w:name="triangulation-reasoned-value"/>
    <w:p>
      <w:pPr>
        <w:pStyle w:val="Heading2"/>
      </w:pPr>
      <w:r>
        <w:t xml:space="preserve">10. Triangulation — Reasoned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Pre-money EV</w:t>
            </w:r>
          </w:p>
        </w:tc>
        <w:tc>
          <w:tcPr/>
          <w:p>
            <w:pPr>
              <w:pStyle w:val="Compac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 (success case)</w:t>
            </w:r>
          </w:p>
        </w:tc>
        <w:tc>
          <w:tcPr/>
          <w:p>
            <w:pPr>
              <w:pStyle w:val="Compact"/>
            </w:pPr>
            <w:r>
              <w:t xml:space="preserve">$29.7M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$1.49M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rNPV (probability-weighted DCF)</w:t>
            </w:r>
          </w:p>
        </w:tc>
        <w:tc>
          <w:tcPr/>
          <w:p>
            <w:pPr>
              <w:pStyle w:val="Compact"/>
            </w:pPr>
            <w:r>
              <w:t xml:space="preserve">$6.0M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$1.50M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 Method (Sahlman)</w:t>
            </w:r>
          </w:p>
        </w:tc>
        <w:tc>
          <w:tcPr/>
          <w:p>
            <w:pPr>
              <w:pStyle w:val="Compact"/>
            </w:pPr>
            <w:r>
              <w:t xml:space="preserve">$7.5M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$1.50M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Comparables</w:t>
            </w:r>
          </w:p>
        </w:tc>
        <w:tc>
          <w:tcPr/>
          <w:p>
            <w:pPr>
              <w:pStyle w:val="Compact"/>
            </w:pPr>
            <w:r>
              <w:t xml:space="preserve">$4.9M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$1.23M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Berkus Method</w:t>
            </w:r>
          </w:p>
        </w:tc>
        <w:tc>
          <w:tcPr/>
          <w:p>
            <w:pPr>
              <w:pStyle w:val="Compact"/>
            </w:pPr>
            <w:r>
              <w:t xml:space="preserve">$1.1M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$0.06M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Scorecard Method</w:t>
            </w:r>
          </w:p>
        </w:tc>
        <w:tc>
          <w:tcPr/>
          <w:p>
            <w:pPr>
              <w:pStyle w:val="Compact"/>
            </w:pPr>
            <w:r>
              <w:t xml:space="preserve">$3.0M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$0.30M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Chicago (сценарный)</w:t>
            </w:r>
          </w:p>
        </w:tc>
        <w:tc>
          <w:tcPr/>
          <w:p>
            <w:pPr>
              <w:pStyle w:val="Compact"/>
            </w:pPr>
            <w:r>
              <w:t xml:space="preserve">$13.0M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$1.30M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Value (Base, weighted)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$7.37M</w:t>
            </w:r>
          </w:p>
        </w:tc>
      </w:tr>
    </w:tbl>
    <w:bookmarkStart w:id="31" w:name="Xed8ec74d7335a652e0636bc05b6c60a588d1822"/>
    <w:p>
      <w:pPr>
        <w:pStyle w:val="Heading3"/>
      </w:pPr>
      <w:r>
        <w:t xml:space="preserve">Округлённая Reasoned Value:</w:t>
      </w:r>
      <w:r>
        <w:t xml:space="preserve"> </w:t>
      </w:r>
      <w:r>
        <w:rPr>
          <w:b/>
          <w:bCs/>
        </w:rPr>
        <w:t xml:space="preserve">$7.5M pre-money</w:t>
      </w:r>
    </w:p>
    <w:bookmarkEnd w:id="31"/>
    <w:bookmarkStart w:id="32" w:name="диапазон-неопределённости"/>
    <w:p>
      <w:pPr>
        <w:pStyle w:val="Heading3"/>
      </w:pPr>
      <w:r>
        <w:t xml:space="preserve">Диапазон неопределённости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Low (P25, worst-case-ready):</w:t>
      </w:r>
      <w:r>
        <w:t xml:space="preserve"> </w:t>
      </w:r>
      <w:r>
        <w:rPr>
          <w:b/>
          <w:bCs/>
        </w:rPr>
        <w:t xml:space="preserve">$2.5M</w:t>
      </w:r>
      <w:r>
        <w:t xml:space="preserve"> </w:t>
      </w:r>
      <w:r>
        <w:t xml:space="preserve">— Berkus floor + Scorecard, без upside-методов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 (P50):</w:t>
      </w:r>
      <w:r>
        <w:t xml:space="preserve"> </w:t>
      </w:r>
      <w:r>
        <w:rPr>
          <w:b/>
          <w:bCs/>
        </w:rPr>
        <w:t xml:space="preserve">$7.5M</w:t>
      </w:r>
      <w:r>
        <w:t xml:space="preserve"> </w:t>
      </w:r>
      <w:r>
        <w:t xml:space="preserve">— weighted triangulation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 (P75, best-case-ready):</w:t>
      </w:r>
      <w:r>
        <w:t xml:space="preserve"> </w:t>
      </w:r>
      <w:r>
        <w:rPr>
          <w:b/>
          <w:bCs/>
        </w:rPr>
        <w:t xml:space="preserve">$18M</w:t>
      </w:r>
      <w:r>
        <w:t xml:space="preserve"> </w:t>
      </w:r>
      <w:r>
        <w:t xml:space="preserve">— VC method × 2 (стратег с premium exit мультипликатором) + успешный тендер Росрезерва до Series 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ensitivity-analysis"/>
    <w:p>
      <w:pPr>
        <w:pStyle w:val="Heading2"/>
      </w:pPr>
      <w:r>
        <w:t xml:space="preserve">11. Sensitivity Analysis</w:t>
      </w:r>
    </w:p>
    <w:bookmarkStart w:id="34" w:name="цена-pre-money-vs-probability-of-success"/>
    <w:p>
      <w:pPr>
        <w:pStyle w:val="Heading3"/>
      </w:pPr>
      <w:r>
        <w:t xml:space="preserve">11.1. Цена pre-money vs probability of success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P(success cumulative)</w:t>
            </w:r>
          </w:p>
        </w:tc>
        <w:tc>
          <w:tcPr/>
          <w:p>
            <w:pPr>
              <w:pStyle w:val="Compact"/>
            </w:pPr>
            <w:r>
              <w:t xml:space="preserve">Implied Reasoned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$3.5M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$5.4M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20% (Base)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$9.6M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$11.7M</w:t>
            </w:r>
          </w:p>
        </w:tc>
      </w:tr>
    </w:tbl>
    <w:bookmarkEnd w:id="34"/>
    <w:bookmarkStart w:id="35" w:name="цена-pre-money-vs-exit-multiple-ebitda"/>
    <w:p>
      <w:pPr>
        <w:pStyle w:val="Heading3"/>
      </w:pPr>
      <w:r>
        <w:t xml:space="preserve">11.2. Цена pre-money vs Exit multiple (EBITDA)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multiple 2030</w:t>
            </w:r>
          </w:p>
        </w:tc>
        <w:tc>
          <w:tcPr/>
          <w:p>
            <w:pPr>
              <w:pStyle w:val="Compact"/>
            </w:pPr>
            <w:r>
              <w:t xml:space="preserve">Implied Reasoned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3× EBITDA ($33M exit)</w:t>
            </w:r>
          </w:p>
        </w:tc>
        <w:tc>
          <w:tcPr/>
          <w:p>
            <w:pPr>
              <w:pStyle w:val="Compact"/>
            </w:pPr>
            <w:r>
              <w:t xml:space="preserve">$4.2M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4× EBITDA ($44M exit)</w:t>
            </w:r>
          </w:p>
        </w:tc>
        <w:tc>
          <w:tcPr/>
          <w:p>
            <w:pPr>
              <w:pStyle w:val="Compact"/>
            </w:pPr>
            <w:r>
              <w:t xml:space="preserve">$5.8M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5× EBITDA ($55M exit) — 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6× EBITDA ($66M exit)</w:t>
            </w:r>
          </w:p>
        </w:tc>
        <w:tc>
          <w:tcPr/>
          <w:p>
            <w:pPr>
              <w:pStyle w:val="Compact"/>
            </w:pPr>
            <w:r>
              <w:t xml:space="preserve">$9.1M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8× EBITDA ($88M exit, strategic premium)</w:t>
            </w:r>
          </w:p>
        </w:tc>
        <w:tc>
          <w:tcPr/>
          <w:p>
            <w:pPr>
              <w:pStyle w:val="Compact"/>
            </w:pPr>
            <w:r>
              <w:t xml:space="preserve">$12.4M</w:t>
            </w:r>
          </w:p>
        </w:tc>
      </w:tr>
    </w:tbl>
    <w:bookmarkEnd w:id="35"/>
    <w:bookmarkStart w:id="36" w:name="курсовой-риск"/>
    <w:p>
      <w:pPr>
        <w:pStyle w:val="Heading3"/>
      </w:pPr>
      <w:r>
        <w:t xml:space="preserve">11.3. Курсовой риск (₽/$)</w:t>
      </w:r>
    </w:p>
    <w:p>
      <w:pPr>
        <w:pStyle w:val="FirstParagraph"/>
      </w:pPr>
      <w:r>
        <w:t xml:space="preserve">При деваль/реваль рубля на ±20% от 90 ₽/$:</w:t>
      </w:r>
      <w:r>
        <w:t xml:space="preserve"> </w:t>
      </w:r>
      <w:r>
        <w:t xml:space="preserve">- Себестоимость на 60% валютная → маржа в РФ-сегменте падает с 78% до 65% при девальвации</w:t>
      </w:r>
      <w:r>
        <w:t xml:space="preserve"> </w:t>
      </w:r>
      <w:r>
        <w:t xml:space="preserve">- 2030 EBITDA снижается с $11M до $8.5M →</w:t>
      </w:r>
      <w:r>
        <w:t xml:space="preserve"> </w:t>
      </w:r>
      <w:r>
        <w:rPr>
          <w:b/>
          <w:bCs/>
        </w:rPr>
        <w:t xml:space="preserve">Base Reasoned Value падает до $5.8M</w:t>
      </w:r>
    </w:p>
    <w:bookmarkEnd w:id="36"/>
    <w:bookmarkStart w:id="37" w:name="задержка-пилота-с-росрезервом-на-12-мес"/>
    <w:p>
      <w:pPr>
        <w:pStyle w:val="Heading3"/>
      </w:pPr>
      <w:r>
        <w:t xml:space="preserve">11.4. Задержка пилота с Росрезервом на 12 мес</w:t>
      </w:r>
    </w:p>
    <w:p>
      <w:pPr>
        <w:pStyle w:val="Compact"/>
        <w:numPr>
          <w:ilvl w:val="0"/>
          <w:numId w:val="1008"/>
        </w:numPr>
      </w:pPr>
      <w:r>
        <w:t xml:space="preserve">Strategic-сегмент сдвигается на год → 2030 EV падает с $60M до $42M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 Reasoned Value падает до $5.3M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a03967718154ca1eb89709ca76a1b5534e134c8"/>
    <w:p>
      <w:pPr>
        <w:pStyle w:val="Heading2"/>
      </w:pPr>
      <w:r>
        <w:t xml:space="preserve">12. Переговорные зоны (для pre-seed раунда $750 000)</w:t>
      </w:r>
    </w:p>
    <w:bookmarkStart w:id="39" w:name="зелёная-зона-sweet-spot-оба-довольны"/>
    <w:p>
      <w:pPr>
        <w:pStyle w:val="Heading3"/>
      </w:pPr>
      <w:r>
        <w:t xml:space="preserve">🟢 Зелёная зона (sweet spot — оба довольны)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Pre-money $5–10M → инвестор получает 7–13% за $750k</w:t>
      </w:r>
    </w:p>
    <w:p>
      <w:pPr>
        <w:pStyle w:val="Compact"/>
        <w:numPr>
          <w:ilvl w:val="0"/>
          <w:numId w:val="1009"/>
        </w:numPr>
      </w:pPr>
      <w:r>
        <w:t xml:space="preserve">INRR investor 45–55%, что соответствует ожиданиям pre-seed VC</w:t>
      </w:r>
    </w:p>
    <w:p>
      <w:pPr>
        <w:pStyle w:val="Compact"/>
        <w:numPr>
          <w:ilvl w:val="0"/>
          <w:numId w:val="1009"/>
        </w:numPr>
      </w:pPr>
      <w:r>
        <w:t xml:space="preserve">Хорошая позиция для Series A на $20–30M post-money</w:t>
      </w:r>
    </w:p>
    <w:bookmarkEnd w:id="39"/>
    <w:bookmarkStart w:id="40" w:name="жёлтая-зона-требует-sweetener"/>
    <w:p>
      <w:pPr>
        <w:pStyle w:val="Heading3"/>
      </w:pPr>
      <w:r>
        <w:t xml:space="preserve">🟡 Жёлтая зона (требует sweetener)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Pre-money $10–15M → инвестор получает 5–7%</w:t>
      </w:r>
    </w:p>
    <w:p>
      <w:pPr>
        <w:pStyle w:val="Compact"/>
        <w:numPr>
          <w:ilvl w:val="0"/>
          <w:numId w:val="1010"/>
        </w:numPr>
      </w:pPr>
      <w:r>
        <w:t xml:space="preserve">Допустимо только при подписанном LOI с Росрезервом / Минздравом / крупным auto-коллекционером</w:t>
      </w:r>
    </w:p>
    <w:p>
      <w:pPr>
        <w:pStyle w:val="Compact"/>
        <w:numPr>
          <w:ilvl w:val="0"/>
          <w:numId w:val="1010"/>
        </w:numPr>
      </w:pPr>
      <w:r>
        <w:t xml:space="preserve">Или для стратегического инвестора с операционным value-add (поставщик газа, регулятор, дистрибьютор)</w:t>
      </w:r>
    </w:p>
    <w:bookmarkEnd w:id="40"/>
    <w:bookmarkStart w:id="41" w:name="красная-зона-отказы-или-плохие-условия"/>
    <w:p>
      <w:pPr>
        <w:pStyle w:val="Heading3"/>
      </w:pPr>
      <w:r>
        <w:t xml:space="preserve">🔴 Красная зона (отказы или плохие условия)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Pre-money &gt; $15M:</w:t>
      </w:r>
      <w:r>
        <w:t xml:space="preserve"> </w:t>
      </w:r>
      <w:r>
        <w:t xml:space="preserve">инвестор требует liquidation preference 2–3×, anti-dilution full-ratchet, board seats — съест upside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Pre-money &lt; $5M:</w:t>
      </w:r>
      <w:r>
        <w:t xml:space="preserve"> </w:t>
      </w:r>
      <w:r>
        <w:t xml:space="preserve">founder теряет mотивацию на Series A, ICmotional damage</w:t>
      </w:r>
    </w:p>
    <w:bookmarkEnd w:id="41"/>
    <w:bookmarkStart w:id="42" w:name="X7061aec7e1b8fe43ecdb8dcebb077c81d3f46c5"/>
    <w:p>
      <w:pPr>
        <w:pStyle w:val="Heading3"/>
      </w:pPr>
      <w:r>
        <w:t xml:space="preserve">Рекомендуемая стратегия открытия переговоров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Начальный ask:</w:t>
      </w:r>
      <w:r>
        <w:t xml:space="preserve"> </w:t>
      </w:r>
      <w:r>
        <w:t xml:space="preserve">$9M pre-money (на 20% выше Base, оставить место для «торга вниз»)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Target close:</w:t>
      </w:r>
      <w:r>
        <w:t xml:space="preserve"> </w:t>
      </w:r>
      <w:r>
        <w:t xml:space="preserve">$7.5M pre-money (Base)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Walk-away floor:</w:t>
      </w:r>
      <w:r>
        <w:t xml:space="preserve"> </w:t>
      </w:r>
      <w:r>
        <w:t xml:space="preserve">$5M pre-money (Low boundary зелёной зоны)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Maximum acceptable upside:</w:t>
      </w:r>
      <w:r>
        <w:t xml:space="preserve"> </w:t>
      </w:r>
      <w:r>
        <w:t xml:space="preserve">$12M pre-money (только при подписанном LOI)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972afaffeb70cb1b51ca33d53bc0fba936e4761"/>
    <w:p>
      <w:pPr>
        <w:pStyle w:val="Heading2"/>
      </w:pPr>
      <w:r>
        <w:t xml:space="preserve">13. Что увеличит Reasoned Value к Series A 2027</w:t>
      </w:r>
    </w:p>
    <w:p>
      <w:pPr>
        <w:pStyle w:val="FirstParagraph"/>
      </w:pPr>
      <w:r>
        <w:t xml:space="preserve">Каждый из этих гейтов сдвигает оценку и сокращает диапазон: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Достижение</w:t>
            </w:r>
          </w:p>
        </w:tc>
        <w:tc>
          <w:tcPr/>
          <w:p>
            <w:pPr>
              <w:pStyle w:val="Compact"/>
            </w:pPr>
            <w:r>
              <w:t xml:space="preserve">Impact на pre-money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Прототип №1 (мото-капсула) работает + видео-демо</w:t>
            </w:r>
          </w:p>
        </w:tc>
        <w:tc>
          <w:tcPr/>
          <w:p>
            <w:pPr>
              <w:pStyle w:val="Compact"/>
            </w:pPr>
            <w:r>
              <w:t xml:space="preserve">+$2–3M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 ГОСТ Р получен</w:t>
            </w:r>
          </w:p>
        </w:tc>
        <w:tc>
          <w:tcPr/>
          <w:p>
            <w:pPr>
              <w:pStyle w:val="Compact"/>
            </w:pPr>
            <w:r>
              <w:t xml:space="preserve">+$3–5M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Сертификат ГОСТ В (военный) получен</w:t>
            </w:r>
          </w:p>
        </w:tc>
        <w:tc>
          <w:tcPr/>
          <w:p>
            <w:pPr>
              <w:pStyle w:val="Compact"/>
            </w:pPr>
            <w:r>
              <w:t xml:space="preserve">+$5–8M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Подписан LOI / pre-order от Росрезерва / Минздрава</w:t>
            </w:r>
          </w:p>
        </w:tc>
        <w:tc>
          <w:tcPr/>
          <w:p>
            <w:pPr>
              <w:pStyle w:val="Compact"/>
            </w:pPr>
            <w:r>
              <w:t xml:space="preserve">+$10–15M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Подписан LOI от крупного auto-коллекционера (ОАЭ, Швейцария)</w:t>
            </w:r>
          </w:p>
        </w:tc>
        <w:tc>
          <w:tcPr/>
          <w:p>
            <w:pPr>
              <w:pStyle w:val="Compact"/>
            </w:pPr>
            <w:r>
              <w:t xml:space="preserve">+$3–5M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Подача PCT-заявки + публикация (18 мес)</w:t>
            </w:r>
          </w:p>
        </w:tc>
        <w:tc>
          <w:tcPr/>
          <w:p>
            <w:pPr>
              <w:pStyle w:val="Compact"/>
            </w:pPr>
            <w:r>
              <w:t xml:space="preserve">+$2–3M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Найм CTO с опытом hardware/materials</w:t>
            </w:r>
          </w:p>
        </w:tc>
        <w:tc>
          <w:tcPr/>
          <w:p>
            <w:pPr>
              <w:pStyle w:val="Compact"/>
            </w:pPr>
            <w:r>
              <w:t xml:space="preserve">+$3–5M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Первая выручка (даже $50–100k)</w:t>
            </w:r>
          </w:p>
        </w:tc>
        <w:tc>
          <w:tcPr/>
          <w:p>
            <w:pPr>
              <w:pStyle w:val="Compact"/>
            </w:pPr>
            <w:r>
              <w:t xml:space="preserve">+$5–10M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Сценарий «всё получилось» к Series A 2027:</w:t>
      </w:r>
      <w:r>
        <w:t xml:space="preserve"> </w:t>
      </w:r>
      <w:r>
        <w:t xml:space="preserve">pre-money $25–35M — что соответствует целевой Series A в финмодели проекта.</w:t>
      </w:r>
    </w:p>
    <w:p>
      <w:r>
        <w:pict>
          <v:rect style="width:0;height:1.5pt" o:hralign="center" o:hrstd="t" o:hr="t"/>
        </w:pict>
      </w:r>
    </w:p>
    <w:bookmarkEnd w:id="44"/>
    <w:bookmarkStart w:id="45" w:name="X97a943fff16e7b7993a4e83f43bd754931f4995"/>
    <w:p>
      <w:pPr>
        <w:pStyle w:val="Heading2"/>
      </w:pPr>
      <w:r>
        <w:t xml:space="preserve">14. Сравнение с заявленной в финмодели оценкой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Pre-money</w:t>
            </w:r>
          </w:p>
        </w:tc>
        <w:tc>
          <w:tcPr/>
          <w:p>
            <w:pPr>
              <w:pStyle w:val="Compact"/>
            </w:pPr>
            <w:r>
              <w:t xml:space="preserve">Post-money</w:t>
            </w:r>
          </w:p>
        </w:tc>
        <w:tc>
          <w:tcPr/>
          <w:p>
            <w:pPr>
              <w:pStyle w:val="Compact"/>
            </w:pPr>
            <w:r>
              <w:t xml:space="preserve">Equity за $750k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Финмодель проекта (2026-05-08)</w:t>
            </w:r>
          </w:p>
        </w:tc>
        <w:tc>
          <w:tcPr/>
          <w:p>
            <w:pPr>
              <w:pStyle w:val="Compact"/>
            </w:pPr>
            <w:r>
              <w:t xml:space="preserve">$8.65M</w:t>
            </w:r>
          </w:p>
        </w:tc>
        <w:tc>
          <w:tcPr/>
          <w:p>
            <w:pPr>
              <w:pStyle w:val="Compact"/>
            </w:pPr>
            <w:r>
              <w:t xml:space="preserve">$9.4M</w:t>
            </w:r>
          </w:p>
        </w:tc>
        <w:tc>
          <w:tcPr/>
          <w:p>
            <w:pPr>
              <w:pStyle w:val="Compact"/>
            </w:pPr>
            <w:r>
              <w:t xml:space="preserve">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Value (Base, текущий отчёт)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$7.50M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$8.25M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Reasoned Value (Low)</w:t>
            </w:r>
          </w:p>
        </w:tc>
        <w:tc>
          <w:tcPr/>
          <w:p>
            <w:pPr>
              <w:pStyle w:val="Compact"/>
            </w:pPr>
            <w:r>
              <w:t xml:space="preserve">$2.5M</w:t>
            </w:r>
          </w:p>
        </w:tc>
        <w:tc>
          <w:tcPr/>
          <w:p>
            <w:pPr>
              <w:pStyle w:val="Compact"/>
            </w:pPr>
            <w:r>
              <w:t xml:space="preserve">$3.25M</w:t>
            </w:r>
          </w:p>
        </w:tc>
        <w:tc>
          <w:tcPr/>
          <w:p>
            <w:pPr>
              <w:pStyle w:val="Compact"/>
            </w:pPr>
            <w:r>
              <w:t xml:space="preserve">23.1%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Reasoned Value (High)</w:t>
            </w:r>
          </w:p>
        </w:tc>
        <w:tc>
          <w:tcPr/>
          <w:p>
            <w:pPr>
              <w:pStyle w:val="Compact"/>
            </w:pPr>
            <w:r>
              <w:t xml:space="preserve">$18.0M</w:t>
            </w:r>
          </w:p>
        </w:tc>
        <w:tc>
          <w:tcPr/>
          <w:p>
            <w:pPr>
              <w:pStyle w:val="Compact"/>
            </w:pPr>
            <w:r>
              <w:t xml:space="preserve">$18.75M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Расхождение Base vs финмодель: −13%.</w:t>
      </w:r>
      <w:r>
        <w:t xml:space="preserve"> </w:t>
      </w:r>
      <w:r>
        <w:t xml:space="preserve">В пределах нормального коридора для pre-seed (±20% — IPEV §3.7). Финмодель использует только два метода (DCF success case + comparables midpoint без российской корректировки), что объясняет завышение.</w:t>
      </w:r>
    </w:p>
    <w:p>
      <w:r>
        <w:pict>
          <v:rect style="width:0;height:1.5pt" o:hralign="center" o:hrstd="t" o:hr="t"/>
        </w:pict>
      </w:r>
    </w:p>
    <w:bookmarkEnd w:id="45"/>
    <w:bookmarkStart w:id="46" w:name="reasoned-value-conclusion"/>
    <w:p>
      <w:pPr>
        <w:pStyle w:val="Heading2"/>
      </w:pPr>
      <w:r>
        <w:t xml:space="preserve">15. Reasoned Value Conclusion</w:t>
      </w:r>
    </w:p>
    <w:p>
      <w:pPr>
        <w:pStyle w:val="BlockText"/>
      </w:pPr>
      <w:r>
        <w:rPr>
          <w:b/>
          <w:bCs/>
        </w:rPr>
        <w:t xml:space="preserve">Справедливая стоимость проекта INERTUM на дату оценки 20 мая 2026 года — $7.5M pre-money (диапазон $2.5–18M в зависимости от достижения гейтов).</w:t>
      </w:r>
      <w:r>
        <w:t xml:space="preserve"> </w:t>
      </w:r>
      <w:r>
        <w:t xml:space="preserve">Это обоснованный целевой уровень для переговоров с pre-seed инвесторами на раунд $750 000. Уход выше $10M без MVP / без LOI / без сертификата не оправдан рыночными comparables и приведёт к ухудшению условий Series A.</w:t>
      </w:r>
    </w:p>
    <w:p>
      <w:pPr>
        <w:pStyle w:val="BlockText"/>
      </w:pPr>
      <w:r>
        <w:t xml:space="preserve">Главные драйверы upside: (1) построенный прототип; (2) подписанный LOI / pre-order от государственного клиента (Росрезерв / Минздрав); (3) полученный сертификат ГОСТ. Главные драйверы downside: (1) задержка сертификации; (2) выход прямого конкурента; (3) девальвация рубля &gt; 30%.</w:t>
      </w:r>
    </w:p>
    <w:p>
      <w:pPr>
        <w:pStyle w:val="FirstParagraph"/>
      </w:pPr>
      <w:r>
        <w:rPr>
          <w:b/>
          <w:bCs/>
        </w:rPr>
        <w:t xml:space="preserve">Подписано:</w:t>
      </w:r>
      <w:r>
        <w:t xml:space="preserve"> </w:t>
      </w:r>
      <w:r>
        <w:t xml:space="preserve">Абдул-Хаким Ахмадович Кагиров</w:t>
      </w:r>
      <w:r>
        <w:t xml:space="preserve"> </w:t>
      </w:r>
      <w:r>
        <w:t xml:space="preserve">Center Group Company</w:t>
      </w:r>
      <w:r>
        <w:t xml:space="preserve"> </w:t>
      </w:r>
      <w:r>
        <w:t xml:space="preserve">20 мая 2026 года</w:t>
      </w:r>
      <w:r>
        <w:t xml:space="preserve"> </w:t>
      </w:r>
      <w:r>
        <w:t xml:space="preserve">Engagement reference: CGC-INERTUM-VAL-2026-05-20</w:t>
      </w:r>
    </w:p>
    <w:p>
      <w:r>
        <w:pict>
          <v:rect style="width:0;height:1.5pt" o:hralign="center" o:hrstd="t" o:hr="t"/>
        </w:pict>
      </w:r>
    </w:p>
    <w:bookmarkEnd w:id="46"/>
    <w:bookmarkStart w:id="47" w:name="приложение-а-источники"/>
    <w:p>
      <w:pPr>
        <w:pStyle w:val="Heading2"/>
      </w:pPr>
      <w:r>
        <w:t xml:space="preserve">Приложение А — Источники</w:t>
      </w:r>
    </w:p>
    <w:p>
      <w:pPr>
        <w:pStyle w:val="Compact"/>
        <w:numPr>
          <w:ilvl w:val="0"/>
          <w:numId w:val="1013"/>
        </w:numPr>
      </w:pPr>
      <w:r>
        <w:t xml:space="preserve">IPEV Valuation Guidelines, December 2022 edition (https://privateequityvaluation.com)</w:t>
      </w:r>
    </w:p>
    <w:p>
      <w:pPr>
        <w:pStyle w:val="Compact"/>
        <w:numPr>
          <w:ilvl w:val="0"/>
          <w:numId w:val="1013"/>
        </w:numPr>
      </w:pPr>
      <w:r>
        <w:t xml:space="preserve">International Valuation Standards (IVS) 2022, IVSC</w:t>
      </w:r>
    </w:p>
    <w:p>
      <w:pPr>
        <w:pStyle w:val="Compact"/>
        <w:numPr>
          <w:ilvl w:val="0"/>
          <w:numId w:val="1013"/>
        </w:numPr>
      </w:pPr>
      <w:r>
        <w:t xml:space="preserve">AICPA Practice Aid: Valuation of Privately-Held-Company Equity Securities Issued as Compensation, 2013</w:t>
      </w:r>
    </w:p>
    <w:p>
      <w:pPr>
        <w:pStyle w:val="Compact"/>
        <w:numPr>
          <w:ilvl w:val="0"/>
          <w:numId w:val="1013"/>
        </w:numPr>
      </w:pPr>
      <w:r>
        <w:t xml:space="preserve">Berkus, D. «The Berkus Method: Valuing the Early Stage Investment», 1996; обновл. 2016</w:t>
      </w:r>
    </w:p>
    <w:p>
      <w:pPr>
        <w:pStyle w:val="Compact"/>
        <w:numPr>
          <w:ilvl w:val="0"/>
          <w:numId w:val="1013"/>
        </w:numPr>
      </w:pPr>
      <w:r>
        <w:t xml:space="preserve">Payne, B. «Scorecard Valuation Methodology», Bill Payne &amp; Associates, 2011</w:t>
      </w:r>
    </w:p>
    <w:p>
      <w:pPr>
        <w:pStyle w:val="Compact"/>
        <w:numPr>
          <w:ilvl w:val="0"/>
          <w:numId w:val="1013"/>
        </w:numPr>
      </w:pPr>
      <w:r>
        <w:t xml:space="preserve">Sahlman, W.A., Scherlis, D.R. «A Method for Valuing High-Risk, Long-Term Investments: The Venture Capital Method», HBS 9-288-006, 1989</w:t>
      </w:r>
    </w:p>
    <w:p>
      <w:pPr>
        <w:pStyle w:val="Compact"/>
        <w:numPr>
          <w:ilvl w:val="0"/>
          <w:numId w:val="1013"/>
        </w:numPr>
      </w:pPr>
      <w:r>
        <w:t xml:space="preserve">Stewart, J.J., Allison, P.N., Johnson, R.S. «Putting a Price on Biotechnology», Nature Biotechnology, 2001</w:t>
      </w:r>
    </w:p>
    <w:p>
      <w:pPr>
        <w:pStyle w:val="Compact"/>
        <w:numPr>
          <w:ilvl w:val="0"/>
          <w:numId w:val="1013"/>
        </w:numPr>
      </w:pPr>
      <w:r>
        <w:t xml:space="preserve">Pitchbook Q4 2024 Venture Monitor</w:t>
      </w:r>
    </w:p>
    <w:p>
      <w:pPr>
        <w:pStyle w:val="Compact"/>
        <w:numPr>
          <w:ilvl w:val="0"/>
          <w:numId w:val="1013"/>
        </w:numPr>
      </w:pPr>
      <w:r>
        <w:t xml:space="preserve">CB Insights State of Deeptech 2024</w:t>
      </w:r>
    </w:p>
    <w:p>
      <w:pPr>
        <w:pStyle w:val="Compact"/>
        <w:numPr>
          <w:ilvl w:val="0"/>
          <w:numId w:val="1013"/>
        </w:numPr>
      </w:pPr>
      <w:r>
        <w:t xml:space="preserve">Crunchbase Russian Deeptech Funding Report 2024</w:t>
      </w:r>
    </w:p>
    <w:p>
      <w:pPr>
        <w:pStyle w:val="Compact"/>
        <w:numPr>
          <w:ilvl w:val="0"/>
          <w:numId w:val="1013"/>
        </w:numPr>
      </w:pPr>
      <w:r>
        <w:t xml:space="preserve">Финансовая модель INERTUM v1.0 от 2026-05-08 (внутренний документ проекта)</w:t>
      </w:r>
    </w:p>
    <w:p>
      <w:pPr>
        <w:pStyle w:val="Compact"/>
        <w:numPr>
          <w:ilvl w:val="0"/>
          <w:numId w:val="1013"/>
        </w:numPr>
      </w:pPr>
      <w:r>
        <w:t xml:space="preserve">Отчёт «INERTUM — видение и аналоги» от 2026-05-08 (внутренний документ проекта)</w:t>
      </w:r>
    </w:p>
    <w:bookmarkEnd w:id="47"/>
    <w:bookmarkStart w:id="48" w:name="приложение-b-глоссарий"/>
    <w:p>
      <w:pPr>
        <w:pStyle w:val="Heading2"/>
      </w:pPr>
      <w:r>
        <w:t xml:space="preserve">Приложение B — Глоссарий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FCF (Free Cash Flow):</w:t>
      </w:r>
      <w:r>
        <w:t xml:space="preserve"> </w:t>
      </w:r>
      <w:r>
        <w:t xml:space="preserve">свободный денежный поток = OpCF − CapEx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DCF (Discounted Cash Flow):</w:t>
      </w:r>
      <w:r>
        <w:t xml:space="preserve"> </w:t>
      </w:r>
      <w:r>
        <w:t xml:space="preserve">метод дисконтированных денежных потоков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rNPV (risk-adjusted NPV):</w:t>
      </w:r>
      <w:r>
        <w:t xml:space="preserve"> </w:t>
      </w:r>
      <w:r>
        <w:t xml:space="preserve">NPV с поправкой на вероятность успеха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WACC (Weighted Average Cost of Capital):</w:t>
      </w:r>
      <w:r>
        <w:t xml:space="preserve"> </w:t>
      </w:r>
      <w:r>
        <w:t xml:space="preserve">средневзвешенная стоимость капитала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IRR (Internal Rate of Return):</w:t>
      </w:r>
      <w:r>
        <w:t xml:space="preserve"> </w:t>
      </w:r>
      <w:r>
        <w:t xml:space="preserve">внутренняя норма доходности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Pre-money / Post-money:</w:t>
      </w:r>
      <w:r>
        <w:t xml:space="preserve"> </w:t>
      </w:r>
      <w:r>
        <w:t xml:space="preserve">оценка до / после инвестиций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LOI (Letter of Intent):</w:t>
      </w:r>
      <w:r>
        <w:t xml:space="preserve"> </w:t>
      </w:r>
      <w:r>
        <w:t xml:space="preserve">письмо о намерениях (необязывающее)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Dilution:</w:t>
      </w:r>
      <w:r>
        <w:t xml:space="preserve"> </w:t>
      </w:r>
      <w:r>
        <w:t xml:space="preserve">размытие доли существующих акционеров при новом раунде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Liquidation preference:</w:t>
      </w:r>
      <w:r>
        <w:t xml:space="preserve"> </w:t>
      </w:r>
      <w:r>
        <w:t xml:space="preserve">право преимущественного возврата капитала при ликвидации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Anti-dilution:</w:t>
      </w:r>
      <w:r>
        <w:t xml:space="preserve"> </w:t>
      </w:r>
      <w:r>
        <w:t xml:space="preserve">механизм защиты инвестора от размытия в down-round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Exit multiple:</w:t>
      </w:r>
      <w:r>
        <w:t xml:space="preserve"> </w:t>
      </w:r>
      <w:r>
        <w:t xml:space="preserve">мультипликатор оценки при выходе (EBITDA × N или Revenue × 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Terminal value:</w:t>
      </w:r>
      <w:r>
        <w:t xml:space="preserve"> </w:t>
      </w:r>
      <w:r>
        <w:t xml:space="preserve">остаточная стоимость бизнеса после прогнозного периода (Gordon Growth Model)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подготовлен в составе портала INERTUM, размещён в data-room по адресу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inertum.tech/private-7f3a9b2c8e/docs/</w:t>
      </w:r>
      <w:r>
        <w:rPr>
          <w:i/>
          <w:iCs/>
        </w:rPr>
        <w:t xml:space="preserve">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2026-05-20T13:13:39Z</dcterms:created>
  <dcterms:modified xsi:type="dcterms:W3CDTF">2026-05-20T13:13:39Z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