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ertum-one-pager"/>
    <w:p>
      <w:pPr>
        <w:pStyle w:val="Heading1"/>
      </w:pPr>
      <w:r>
        <w:t xml:space="preserve">INERTUM — One-Pager</w:t>
      </w:r>
    </w:p>
    <w:p>
      <w:pPr>
        <w:pStyle w:val="FirstParagraph"/>
      </w:pPr>
      <w:r>
        <w:rPr>
          <w:b/>
          <w:bCs/>
        </w:rPr>
        <w:t xml:space="preserve">Inert gas preservation capsules · 50 years protection · Pre-Seed 2026</w:t>
      </w:r>
    </w:p>
    <w:p>
      <w:r>
        <w:pict>
          <v:rect style="width:0;height:1.5pt" o:hralign="center" o:hrstd="t" o:hr="t"/>
        </w:pict>
      </w:r>
    </w:p>
    <w:bookmarkStart w:id="9" w:name="что-мы-делаем"/>
    <w:p>
      <w:pPr>
        <w:pStyle w:val="Heading2"/>
      </w:pPr>
      <w:r>
        <w:t xml:space="preserve">Что мы делаем</w:t>
      </w:r>
    </w:p>
    <w:p>
      <w:pPr>
        <w:pStyle w:val="FirstParagraph"/>
      </w:pPr>
      <w:r>
        <w:t xml:space="preserve">Делаем</w:t>
      </w:r>
      <w:r>
        <w:t xml:space="preserve"> </w:t>
      </w:r>
      <w:r>
        <w:rPr>
          <w:b/>
          <w:bCs/>
        </w:rPr>
        <w:t xml:space="preserve">гибкие герметичные капсулы</w:t>
      </w:r>
      <w:r>
        <w:t xml:space="preserve"> </w:t>
      </w:r>
      <w:r>
        <w:t xml:space="preserve">с инертным газом и пассивным оптическим контролем для защиты дорогостоящих изделий от окисления и коррозии</w:t>
      </w:r>
      <w:r>
        <w:t xml:space="preserve"> </w:t>
      </w:r>
      <w:r>
        <w:rPr>
          <w:b/>
          <w:bCs/>
        </w:rPr>
        <w:t xml:space="preserve">на 50 лет</w:t>
      </w:r>
      <w:r>
        <w:t xml:space="preserve">. Подходят для коллекционных автомобилей, музейных артефактов, стратегических резервов лекарств, ювелирки и слитков, премиум-вина и виски.</w:t>
      </w:r>
    </w:p>
    <w:bookmarkEnd w:id="9"/>
    <w:bookmarkStart w:id="10" w:name="проблема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Богатые активы гниют, потому что упаковки для них не существует. Существующие решения работают 5–10 лет, не 50: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CarCapsule, Carcoon</w:t>
      </w:r>
      <w:r>
        <w:t xml:space="preserve"> </w:t>
      </w:r>
      <w:r>
        <w:t xml:space="preserve">гонят воздух — внутри 21% O₂, нужно электричество 24/7.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Cortec, Zerust</w:t>
      </w:r>
      <w:r>
        <w:t xml:space="preserve"> </w:t>
      </w:r>
      <w:r>
        <w:t xml:space="preserve">— VCI-плёнки, не работают для электроники и фармы.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MIL-STD-2073</w:t>
      </w:r>
      <w:r>
        <w:t xml:space="preserve"> </w:t>
      </w:r>
      <w:r>
        <w:t xml:space="preserve">— для агрегатов, не для целых изделий, без мониторинга.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Анокс-витрины музеев</w:t>
      </w:r>
      <w:r>
        <w:t xml:space="preserve"> </w:t>
      </w:r>
      <w:r>
        <w:t xml:space="preserve">— штучное производство $50k+, нет стандартизации.</w:t>
      </w:r>
    </w:p>
    <w:p>
      <w:pPr>
        <w:pStyle w:val="BodyText"/>
      </w:pPr>
      <w:r>
        <w:rPr>
          <w:b/>
          <w:bCs/>
        </w:rPr>
        <w:t xml:space="preserve">Мировые потери от неправильного хранения</w:t>
      </w:r>
      <w:r>
        <w:t xml:space="preserve"> </w:t>
      </w:r>
      <w:r>
        <w:t xml:space="preserve">только в фарме и страт. резервах — миллиарды долларов в год.</w:t>
      </w:r>
    </w:p>
    <w:bookmarkEnd w:id="10"/>
    <w:bookmarkStart w:id="11" w:name="наше-решение"/>
    <w:p>
      <w:pPr>
        <w:pStyle w:val="Heading2"/>
      </w:pPr>
      <w:r>
        <w:t xml:space="preserve">Наше решение</w:t>
      </w:r>
    </w:p>
    <w:p>
      <w:pPr>
        <w:pStyle w:val="FirstParagraph"/>
      </w:pPr>
      <w:r>
        <w:rPr>
          <w:b/>
          <w:bCs/>
        </w:rPr>
        <w:t xml:space="preserve">Многослойный ламинат PET / Al-foil / LLDPE + азот или аргон + кислород-абсорбер Mitsubishi Ageless + пассивный оптический spot PreSens через прозрачное окно в оболочке + алгоритм самодиагностики герметичности + порт безразрывной дозаправки.</w:t>
      </w:r>
    </w:p>
    <w:p>
      <w:pPr>
        <w:pStyle w:val="BodyText"/>
      </w:pPr>
      <w:r>
        <w:t xml:space="preserve">Эта комбинация</w:t>
      </w:r>
      <w:r>
        <w:t xml:space="preserve"> </w:t>
      </w:r>
      <w:r>
        <w:rPr>
          <w:b/>
          <w:bCs/>
        </w:rPr>
        <w:t xml:space="preserve">запатентована</w:t>
      </w:r>
      <w:r>
        <w:t xml:space="preserve"> </w:t>
      </w:r>
      <w:r>
        <w:t xml:space="preserve">(заявка ЕАПО + PCT в подготовке). Углублённый патентный поиск по 21 ближайшему аналогу показал —</w:t>
      </w:r>
      <w:r>
        <w:t xml:space="preserve"> </w:t>
      </w:r>
      <w:r>
        <w:rPr>
          <w:b/>
          <w:bCs/>
        </w:rPr>
        <w:t xml:space="preserve">прямых блокирующих патентов нет</w:t>
      </w:r>
      <w:r>
        <w:t xml:space="preserve">.</w:t>
      </w:r>
    </w:p>
    <w:bookmarkEnd w:id="11"/>
    <w:bookmarkStart w:id="12" w:name="X48ea9dceaf230389aeb4d0b5a8d296f9f722406"/>
    <w:p>
      <w:pPr>
        <w:pStyle w:val="Heading2"/>
      </w:pPr>
      <w:r>
        <w:t xml:space="preserve">Юнит-экономика (на примере капсулы под авто)</w:t>
      </w:r>
    </w:p>
    <w:p>
      <w:pPr>
        <w:pStyle w:val="Compact"/>
        <w:numPr>
          <w:ilvl w:val="0"/>
          <w:numId w:val="1001"/>
        </w:numPr>
      </w:pPr>
      <w:r>
        <w:t xml:space="preserve">Себестоимость:</w:t>
      </w:r>
      <w:r>
        <w:t xml:space="preserve"> </w:t>
      </w:r>
      <w:r>
        <w:rPr>
          <w:b/>
          <w:bCs/>
        </w:rPr>
        <w:t xml:space="preserve">$1 360</w:t>
      </w:r>
    </w:p>
    <w:p>
      <w:pPr>
        <w:pStyle w:val="Compact"/>
        <w:numPr>
          <w:ilvl w:val="0"/>
          <w:numId w:val="1001"/>
        </w:numPr>
      </w:pPr>
      <w:r>
        <w:t xml:space="preserve">Розничная цена:</w:t>
      </w:r>
      <w:r>
        <w:t xml:space="preserve"> </w:t>
      </w:r>
      <w:r>
        <w:rPr>
          <w:b/>
          <w:bCs/>
        </w:rPr>
        <w:t xml:space="preserve">$5 000 – 15 000</w:t>
      </w:r>
    </w:p>
    <w:p>
      <w:pPr>
        <w:pStyle w:val="Compact"/>
        <w:numPr>
          <w:ilvl w:val="0"/>
          <w:numId w:val="1001"/>
        </w:numPr>
      </w:pPr>
      <w:r>
        <w:t xml:space="preserve">Маржа:</w:t>
      </w:r>
      <w:r>
        <w:t xml:space="preserve"> </w:t>
      </w:r>
      <w:r>
        <w:rPr>
          <w:b/>
          <w:bCs/>
        </w:rPr>
        <w:t xml:space="preserve">75–90%</w:t>
      </w:r>
    </w:p>
    <w:bookmarkEnd w:id="12"/>
    <w:bookmarkStart w:id="13" w:name="рынок"/>
    <w:p>
      <w:pPr>
        <w:pStyle w:val="Heading2"/>
      </w:pPr>
      <w:r>
        <w:t xml:space="preserve">Рынок</w:t>
      </w:r>
    </w:p>
    <w:p>
      <w:pPr>
        <w:pStyle w:val="Compact"/>
        <w:numPr>
          <w:ilvl w:val="0"/>
          <w:numId w:val="1002"/>
        </w:numPr>
      </w:pPr>
      <w:r>
        <w:t xml:space="preserve">TAM (премиум-упаковка + страт. резервы):</w:t>
      </w:r>
      <w:r>
        <w:t xml:space="preserve"> </w:t>
      </w:r>
      <w:r>
        <w:rPr>
          <w:b/>
          <w:bCs/>
        </w:rPr>
        <w:t xml:space="preserve">$30 B</w:t>
      </w:r>
    </w:p>
    <w:p>
      <w:pPr>
        <w:pStyle w:val="Compact"/>
        <w:numPr>
          <w:ilvl w:val="0"/>
          <w:numId w:val="1002"/>
        </w:numPr>
      </w:pPr>
      <w:r>
        <w:t xml:space="preserve">SAM (только премиум, где аргон/N₂ оправданы):</w:t>
      </w:r>
      <w:r>
        <w:t xml:space="preserve"> </w:t>
      </w:r>
      <w:r>
        <w:rPr>
          <w:b/>
          <w:bCs/>
        </w:rPr>
        <w:t xml:space="preserve">$3–5 B</w:t>
      </w:r>
    </w:p>
    <w:p>
      <w:pPr>
        <w:pStyle w:val="Compact"/>
        <w:numPr>
          <w:ilvl w:val="0"/>
          <w:numId w:val="1002"/>
        </w:numPr>
      </w:pPr>
      <w:r>
        <w:t xml:space="preserve">SOM (РФ + СНГ + Ближний Восток + китайский премиум за 5 лет):</w:t>
      </w:r>
      <w:r>
        <w:t xml:space="preserve"> </w:t>
      </w:r>
      <w:r>
        <w:rPr>
          <w:b/>
          <w:bCs/>
        </w:rPr>
        <w:t xml:space="preserve">$50–80 M</w:t>
      </w:r>
    </w:p>
    <w:bookmarkEnd w:id="13"/>
    <w:bookmarkStart w:id="14" w:name="ключевые-сегменты"/>
    <w:p>
      <w:pPr>
        <w:pStyle w:val="Heading2"/>
      </w:pPr>
      <w:r>
        <w:t xml:space="preserve">Ключевые сегменты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Коллекционные автомобили</w:t>
      </w:r>
      <w:r>
        <w:t xml:space="preserve"> </w:t>
      </w:r>
      <w:r>
        <w:t xml:space="preserve">($20B insurance market, 5 млн машин в мире)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Стратегические резервы РФ</w:t>
      </w:r>
      <w:r>
        <w:t xml:space="preserve"> </w:t>
      </w:r>
      <w:r>
        <w:t xml:space="preserve">(Росрезерв / Минздрав / Минобороны — тендеры от ₽1 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Музейная консервация</w:t>
      </w:r>
      <w:r>
        <w:t xml:space="preserve"> </w:t>
      </w:r>
      <w:r>
        <w:t xml:space="preserve">(ГИМ, Эрмитаж, локальные музеи СНГ)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Премиум-сегмент</w:t>
      </w:r>
      <w:r>
        <w:t xml:space="preserve"> </w:t>
      </w:r>
      <w:r>
        <w:t xml:space="preserve">(часы, ювелирка, виски, олив-ойл)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Ближний Восток + Азия</w:t>
      </w:r>
      <w:r>
        <w:t xml:space="preserve"> </w:t>
      </w:r>
      <w:r>
        <w:t xml:space="preserve">(богатые частные коллекции)</w:t>
      </w:r>
    </w:p>
    <w:bookmarkEnd w:id="14"/>
    <w:bookmarkStart w:id="15" w:name="команда-и-каналы"/>
    <w:p>
      <w:pPr>
        <w:pStyle w:val="Heading2"/>
      </w:pPr>
      <w:r>
        <w:t xml:space="preserve">Команда и каналы</w:t>
      </w:r>
    </w:p>
    <w:p>
      <w:pPr>
        <w:pStyle w:val="FirstParagraph"/>
      </w:pPr>
      <w:r>
        <w:rPr>
          <w:b/>
          <w:bCs/>
        </w:rPr>
        <w:t xml:space="preserve">Аслан КАА — Founder, CEO.</w:t>
      </w:r>
      <w:r>
        <w:t xml:space="preserve"> </w:t>
      </w:r>
      <w:r>
        <w:t xml:space="preserve">Многопрофильный предприниматель с подтверждёнными каналами в нефтегазе РФ (Усть-Кут-Нефтегаз), КНР, Казахстане, Ближнем Востоке. Открыты позиции CTO, Head of Sales, Head of R&amp;D — нанимаем после pre-seed.</w:t>
      </w:r>
    </w:p>
    <w:bookmarkEnd w:id="15"/>
    <w:bookmarkStart w:id="16" w:name="что-есть-на-сегодня-2026-05-08"/>
    <w:p>
      <w:pPr>
        <w:pStyle w:val="Heading2"/>
      </w:pPr>
      <w:r>
        <w:t xml:space="preserve">Что есть на сегодня (2026-05-08)</w:t>
      </w:r>
    </w:p>
    <w:p>
      <w:pPr>
        <w:pStyle w:val="Compact"/>
        <w:numPr>
          <w:ilvl w:val="0"/>
          <w:numId w:val="1004"/>
        </w:numPr>
      </w:pPr>
      <w:r>
        <w:t xml:space="preserve">✅ Драфт патентной заявки v2.1 для ЕАПО (8 стран) и PCT</w:t>
      </w:r>
    </w:p>
    <w:p>
      <w:pPr>
        <w:pStyle w:val="Compact"/>
        <w:numPr>
          <w:ilvl w:val="0"/>
          <w:numId w:val="1004"/>
        </w:numPr>
      </w:pPr>
      <w:r>
        <w:t xml:space="preserve">✅ Углублённый патентный поиск (21 аналог, блокеров нет)</w:t>
      </w:r>
    </w:p>
    <w:p>
      <w:pPr>
        <w:pStyle w:val="Compact"/>
        <w:numPr>
          <w:ilvl w:val="0"/>
          <w:numId w:val="1004"/>
        </w:numPr>
      </w:pPr>
      <w:r>
        <w:t xml:space="preserve">✅ Техническая справка на реальных источниках (MIL-STD, ГОСТ, Mitsubishi, Getty)</w:t>
      </w:r>
    </w:p>
    <w:p>
      <w:pPr>
        <w:pStyle w:val="Compact"/>
        <w:numPr>
          <w:ilvl w:val="0"/>
          <w:numId w:val="1004"/>
        </w:numPr>
      </w:pPr>
      <w:r>
        <w:t xml:space="preserve">✅ ТЗ на прототип №1 с полной BOM, ₽250 тыс. в производстве</w:t>
      </w:r>
    </w:p>
    <w:p>
      <w:pPr>
        <w:pStyle w:val="Compact"/>
        <w:numPr>
          <w:ilvl w:val="0"/>
          <w:numId w:val="1004"/>
        </w:numPr>
      </w:pPr>
      <w:r>
        <w:t xml:space="preserve">✅ Контакты и шаблоны RFQ для топ-3 поставщиков ламината и датчиков</w:t>
      </w:r>
    </w:p>
    <w:p>
      <w:pPr>
        <w:pStyle w:val="Compact"/>
        <w:numPr>
          <w:ilvl w:val="0"/>
          <w:numId w:val="1004"/>
        </w:numPr>
      </w:pPr>
      <w:r>
        <w:t xml:space="preserve">⏳ Прототип №1 — сборка через 8–10 недель после привлечения раунда</w:t>
      </w:r>
    </w:p>
    <w:bookmarkEnd w:id="16"/>
    <w:bookmarkStart w:id="17" w:name="финансовый-прогноз"/>
    <w:p>
      <w:pPr>
        <w:pStyle w:val="Heading2"/>
      </w:pPr>
      <w:r>
        <w:t xml:space="preserve">Финансовый прогноз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  <w:tc>
          <w:tcPr/>
          <w:p>
            <w:pPr>
              <w:pStyle w:val="Compact"/>
            </w:pPr>
            <w:r>
              <w:t xml:space="preserve">EBITDA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-$400k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$1.5M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$5.0M</w:t>
            </w:r>
          </w:p>
        </w:tc>
        <w:tc>
          <w:tcPr/>
          <w:p>
            <w:pPr>
              <w:pStyle w:val="Compact"/>
            </w:pPr>
            <w:r>
              <w:t xml:space="preserve">$1.8M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$12M</w:t>
            </w:r>
          </w:p>
        </w:tc>
        <w:tc>
          <w:tcPr/>
          <w:p>
            <w:pPr>
              <w:pStyle w:val="Compact"/>
            </w:pPr>
            <w:r>
              <w:t xml:space="preserve">$5.0M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$25M</w:t>
            </w:r>
          </w:p>
        </w:tc>
        <w:tc>
          <w:tcPr/>
          <w:p>
            <w:pPr>
              <w:pStyle w:val="Compact"/>
            </w:pPr>
            <w:r>
              <w:t xml:space="preserve">$12M</w:t>
            </w:r>
          </w:p>
        </w:tc>
      </w:tr>
    </w:tbl>
    <w:bookmarkEnd w:id="17"/>
    <w:bookmarkStart w:id="18" w:name="ask"/>
    <w:p>
      <w:pPr>
        <w:pStyle w:val="Heading2"/>
      </w:pPr>
      <w:r>
        <w:t xml:space="preserve">Ask</w:t>
      </w:r>
    </w:p>
    <w:p>
      <w:pPr>
        <w:pStyle w:val="FirstParagraph"/>
      </w:pPr>
      <w:r>
        <w:rPr>
          <w:b/>
          <w:bCs/>
        </w:rPr>
        <w:t xml:space="preserve">Привлекаем $750 000 pre-seed / 8% equity</w:t>
      </w:r>
      <w:r>
        <w:t xml:space="preserve"> </w:t>
      </w:r>
      <w:r>
        <w:t xml:space="preserve">на 18 месяцев.</w:t>
      </w:r>
    </w:p>
    <w:p>
      <w:pPr>
        <w:pStyle w:val="BodyText"/>
      </w:pPr>
      <w:r>
        <w:t xml:space="preserve">На что: патенты ($60k) + 3 прототипа ($80k) + сертификация ($50k) + капвложения ($60k) + OpEx ($350k) + маркетинг ($80k) + юр + резерв ($70k).</w:t>
      </w:r>
    </w:p>
    <w:p>
      <w:pPr>
        <w:pStyle w:val="BodyText"/>
      </w:pPr>
      <w:r>
        <w:rPr>
          <w:b/>
          <w:bCs/>
        </w:rPr>
        <w:t xml:space="preserve">За 18 месяцев получите:</w:t>
      </w:r>
      <w:r>
        <w:t xml:space="preserve"> </w:t>
      </w:r>
      <w:r>
        <w:t xml:space="preserve">действующий патент РФ + поданную PCT, 3 рабочих прототипа с протоколами испытаний, 5–10 пилотных контрактов на $300–500k ARR, готовность к Series A $3–5M.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Контакт:</w:t>
      </w:r>
      <w:r>
        <w:t xml:space="preserve"> </w:t>
      </w:r>
      <w:r>
        <w:t xml:space="preserve">Аслан КАА · aslankaa@yandex.ru · aslankaa.com</w:t>
      </w:r>
    </w:p>
    <w:p>
      <w:pPr>
        <w:pStyle w:val="BodyText"/>
      </w:pPr>
      <w:r>
        <w:rPr>
          <w:i/>
          <w:iCs/>
        </w:rPr>
        <w:t xml:space="preserve">Полный пакет (питч-дек, патент, тех справка, финмодель, RFQ-каналы) — по запросу под NDA.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2026-05-09T23:27:09Z</dcterms:created>
  <dcterms:modified xsi:type="dcterms:W3CDTF">2026-05-09T23:27:09Z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