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финансовая-модель-inertum-v1.0"/>
    <w:p>
      <w:pPr>
        <w:pStyle w:val="Heading1"/>
      </w:pPr>
      <w:r>
        <w:t xml:space="preserve">Финансовая модель INERTUM v1.0</w:t>
      </w:r>
    </w:p>
    <w:bookmarkStart w:id="9" w:name="Xfefe6a3eb437793b6e9fcfe426078744d60be99"/>
    <w:p>
      <w:pPr>
        <w:pStyle w:val="Heading2"/>
      </w:pPr>
      <w:r>
        <w:t xml:space="preserve">Pre-seed financial model · 2026–2030 · 5-year projection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Аслан КАА (idriskaaa@gmail.com · aslankaa.com)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  <w:bCs/>
        </w:rPr>
        <w:t xml:space="preserve">Валюта:</w:t>
      </w:r>
      <w:r>
        <w:t xml:space="preserve"> </w:t>
      </w:r>
      <w:r>
        <w:t xml:space="preserve">USD (для удобства чтения инвесторами; рублёвые цены приведены в скобках по курсу 90 ₽/$ для ориентира)</w:t>
      </w:r>
      <w:r>
        <w:t xml:space="preserve"> </w:t>
      </w:r>
      <w:r>
        <w:rPr>
          <w:b/>
          <w:bCs/>
        </w:rPr>
        <w:t xml:space="preserve">Ставка дисконтирования:</w:t>
      </w:r>
      <w:r>
        <w:t xml:space="preserve"> </w:t>
      </w:r>
      <w:r>
        <w:t xml:space="preserve">25% (deeptech pre-seed)</w:t>
      </w:r>
    </w:p>
    <w:p>
      <w:pPr>
        <w:pStyle w:val="BlockText"/>
      </w:pPr>
      <w:r>
        <w:t xml:space="preserve">Все цифры — модельные, основаны на реальных закупочных ценах (PreSens, Mitsubishi, NomexRus) и оценках рынка (MarketsAndMarkets, Hagerty, отраслевые отчёты pharma packaging). После первых контрактов и тендеров будет актуализирована.</w:t>
      </w:r>
    </w:p>
    <w:p>
      <w:r>
        <w:pict>
          <v:rect style="width:0;height:1.5pt" o:hralign="center" o:hrstd="t" o:hr="t"/>
        </w:pict>
      </w:r>
    </w:p>
    <w:bookmarkEnd w:id="9"/>
    <w:bookmarkStart w:id="16" w:name="юнит-экономика-по-5-моделям"/>
    <w:p>
      <w:pPr>
        <w:pStyle w:val="Heading2"/>
      </w:pPr>
      <w:r>
        <w:t xml:space="preserve">1. Юнит-экономика по 5 моделям</w:t>
      </w:r>
    </w:p>
    <w:bookmarkStart w:id="10" w:name="inertum-auto-521.5-м-азот-ламинат-spot"/>
    <w:p>
      <w:pPr>
        <w:pStyle w:val="Heading3"/>
      </w:pPr>
      <w:r>
        <w:t xml:space="preserve">1.1 INERTUM Auto (5×2×1.5 м, азот, ламинат + spot)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Ламинат PET/Al-foil/LLDPE 30 м² × $15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Жёсткий каркас (профиль + фитинги)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Молния YKK Aquaseal 8 м × $20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 N₂ (2 баллона × 6 м³)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Кислород-абсорбер Mitsubishi Ageless Z-2000 × 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Оптические патчи PreSens SP-PSt6-NAU × 3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дозаправки + установка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 (швы, контроль 4 чел-часа × $25)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Логистика + упаковка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Гарантийный резерв 5%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Амортизация ридера (на 100 капсул)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Полная себестоимость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продажи розница (medium)</w:t>
            </w:r>
          </w:p>
        </w:tc>
        <w:tc>
          <w:tcPr/>
          <w:p>
            <w:pPr>
              <w:pStyle w:val="Compact"/>
            </w:pPr>
            <w:r>
              <w:t xml:space="preserve">7 000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 на капсулу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5 650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80.7 %</w:t>
            </w:r>
          </w:p>
        </w:tc>
      </w:tr>
    </w:tbl>
    <w:bookmarkEnd w:id="10"/>
    <w:bookmarkStart w:id="11" w:name="inertum-moto-2.511.5-м-азот"/>
    <w:p>
      <w:pPr>
        <w:pStyle w:val="Heading3"/>
      </w:pPr>
      <w:r>
        <w:t xml:space="preserve">1.2 INERTUM Moto (2.5×1×1.5 м, азот)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Ламинат 14 м² × $15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Каркас (опц.)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Молния 3 м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 N₂ (1 баллон)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Абсорбер × 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Патчи × 2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 + логистика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Амортизация ридера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Полная себестоимость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продажи (medium)</w:t>
            </w:r>
          </w:p>
        </w:tc>
        <w:tc>
          <w:tcPr/>
          <w:p>
            <w:pPr>
              <w:pStyle w:val="Compact"/>
            </w:pPr>
            <w:r>
              <w:t xml:space="preserve">2 200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1 640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74.5 %</w:t>
            </w:r>
          </w:p>
        </w:tc>
      </w:tr>
    </w:tbl>
    <w:bookmarkEnd w:id="11"/>
    <w:bookmarkStart w:id="12" w:name="X3e3db1e4f504ef21c37420a91a4cea6d88856df"/>
    <w:p>
      <w:pPr>
        <w:pStyle w:val="Heading3"/>
      </w:pPr>
      <w:r>
        <w:t xml:space="preserve">1.3 INERTUM Vault (жёсткая капсула под слитки/часы, аргон)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Композитный корпус (стекло/боросиликат + металл рама)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Силиконовое уплотнение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 Ar (0.05 м³)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Абсорбер RP-System Type K × 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Патч PreSens × 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 + упаковка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продажи (medium)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78.3 %</w:t>
            </w:r>
          </w:p>
        </w:tc>
      </w:tr>
    </w:tbl>
    <w:bookmarkEnd w:id="12"/>
    <w:bookmarkStart w:id="13" w:name="X40b8486038a75ccf2bda49ff789e22bf2125583"/>
    <w:p>
      <w:pPr>
        <w:pStyle w:val="Heading3"/>
      </w:pPr>
      <w:r>
        <w:t xml:space="preserve">1.4 INERTUM Archive (документы, иконы, монеты, аргон)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Жёсткая или гибкая капсула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 Ar (0.02 м³)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Абсорбер RP-System Type AN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Патч × 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продажи (medium)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76.7 %</w:t>
            </w:r>
          </w:p>
        </w:tc>
      </w:tr>
    </w:tbl>
    <w:bookmarkEnd w:id="13"/>
    <w:bookmarkStart w:id="14" w:name="inertum-strategic-фарма-росрезерв-азот"/>
    <w:p>
      <w:pPr>
        <w:pStyle w:val="Heading3"/>
      </w:pPr>
      <w:r>
        <w:t xml:space="preserve">1.5 INERTUM Strategic (фарма / Росрезерв, азот)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Medical-grade alu-foil 0.05 м²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 N₂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Абсорбер Pharmakeep × 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 O₂ (визуальный) или RFID-tag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 автоматизированная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тендерная (medium)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80.6 %</w:t>
            </w:r>
          </w:p>
        </w:tc>
      </w:tr>
    </w:tbl>
    <w:bookmarkEnd w:id="14"/>
    <w:bookmarkStart w:id="15" w:name="сводная-маржинальность"/>
    <w:p>
      <w:pPr>
        <w:pStyle w:val="Heading3"/>
      </w:pPr>
      <w:r>
        <w:t xml:space="preserve">1.6 Сводная маржинальность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COGS, $</w:t>
            </w:r>
          </w:p>
        </w:tc>
        <w:tc>
          <w:tcPr/>
          <w:p>
            <w:pPr>
              <w:pStyle w:val="Compact"/>
            </w:pPr>
            <w:r>
              <w:t xml:space="preserve">Цена, $</w:t>
            </w:r>
          </w:p>
        </w:tc>
        <w:tc>
          <w:tcPr/>
          <w:p>
            <w:pPr>
              <w:pStyle w:val="Compact"/>
            </w:pPr>
            <w:r>
              <w:t xml:space="preserve">GM,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1 350</w:t>
            </w:r>
          </w:p>
        </w:tc>
        <w:tc>
          <w:tcPr/>
          <w:p>
            <w:pPr>
              <w:pStyle w:val="Compact"/>
            </w:pPr>
            <w:r>
              <w:t xml:space="preserve">7 000</w:t>
            </w:r>
          </w:p>
        </w:tc>
        <w:tc>
          <w:tcPr/>
          <w:p>
            <w:pPr>
              <w:pStyle w:val="Compact"/>
            </w:pPr>
            <w:r>
              <w:t xml:space="preserve">80.7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</w:t>
            </w:r>
          </w:p>
        </w:tc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2 200</w:t>
            </w:r>
          </w:p>
        </w:tc>
        <w:tc>
          <w:tcPr/>
          <w:p>
            <w:pPr>
              <w:pStyle w:val="Compact"/>
            </w:pPr>
            <w:r>
              <w:t xml:space="preserve">74.5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78.3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76.7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80.6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Средневзвешенная Gross Margin</w:t>
      </w:r>
      <w:r>
        <w:t xml:space="preserve"> </w:t>
      </w:r>
      <w:r>
        <w:t xml:space="preserve">при структуре продаж 30% Auto + 20% Moto + 15% Vault + 10% Archive + 25% Strategic ≈</w:t>
      </w:r>
      <w:r>
        <w:t xml:space="preserve"> </w:t>
      </w:r>
      <w:r>
        <w:rPr>
          <w:b/>
          <w:bCs/>
        </w:rPr>
        <w:t xml:space="preserve">78%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capex-капитальные-инвестиции"/>
    <w:p>
      <w:pPr>
        <w:pStyle w:val="Heading2"/>
      </w:pPr>
      <w:r>
        <w:t xml:space="preserve">2. CapEx — капитальные инвестиции</w:t>
      </w:r>
    </w:p>
    <w:bookmarkStart w:id="17" w:name="стартовый-capex-год-1"/>
    <w:p>
      <w:pPr>
        <w:pStyle w:val="Heading3"/>
      </w:pPr>
      <w:r>
        <w:t xml:space="preserve">2.1 Стартовый CapEx (год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Ридеры PreSens OXY-1 ST mini × 5 (для разных филиалов)</w:t>
            </w:r>
          </w:p>
        </w:tc>
        <w:tc>
          <w:tcPr/>
          <w:p>
            <w:pPr>
              <w:pStyle w:val="Compact"/>
            </w:pPr>
            <w:r>
              <w:t xml:space="preserve">17 000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Сварочное оборудование (промышленный термошов, 2 машины)</w:t>
            </w:r>
          </w:p>
        </w:tc>
        <w:tc>
          <w:tcPr/>
          <w:p>
            <w:pPr>
              <w:pStyle w:val="Compact"/>
            </w:pPr>
            <w:r>
              <w:t xml:space="preserve">25 000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Стенд для опрессовки и контроля герметичности</w:t>
            </w:r>
          </w:p>
        </w:tc>
        <w:tc>
          <w:tcPr/>
          <w:p>
            <w:pPr>
              <w:pStyle w:val="Compact"/>
            </w:pPr>
            <w:r>
              <w:t xml:space="preserve">10 000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Газоанализаторы и калибровочные приборы</w:t>
            </w:r>
          </w:p>
        </w:tc>
        <w:tc>
          <w:tcPr/>
          <w:p>
            <w:pPr>
              <w:pStyle w:val="Compact"/>
            </w:pPr>
            <w:r>
              <w:t xml:space="preserve">15 000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Компьютеры + IoT-хабы + сетевая инфраструктура</w:t>
            </w:r>
          </w:p>
        </w:tc>
        <w:tc>
          <w:tcPr/>
          <w:p>
            <w:pPr>
              <w:pStyle w:val="Compact"/>
            </w:pPr>
            <w:r>
              <w:t xml:space="preserve">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Юр.регистрация компании (РФ + Казахстан + ОАЭ опц.)</w:t>
            </w:r>
          </w:p>
        </w:tc>
        <w:tc>
          <w:tcPr/>
          <w:p>
            <w:pPr>
              <w:pStyle w:val="Compact"/>
            </w:pPr>
            <w:r>
              <w:t xml:space="preserve">25 000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Подача патентов (РФ + ЕАПО + PCT)</w:t>
            </w:r>
          </w:p>
        </w:tc>
        <w:tc>
          <w:tcPr/>
          <w:p>
            <w:pPr>
              <w:pStyle w:val="Compact"/>
            </w:pPr>
            <w:r>
              <w:t xml:space="preserve">60 000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CapEx год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160 000</w:t>
            </w:r>
          </w:p>
        </w:tc>
      </w:tr>
    </w:tbl>
    <w:bookmarkEnd w:id="17"/>
    <w:bookmarkStart w:id="18" w:name="расширение-capex-годы-23"/>
    <w:p>
      <w:pPr>
        <w:pStyle w:val="Heading3"/>
      </w:pPr>
      <w:r>
        <w:t xml:space="preserve">2.2 Расширение CapEx (годы 2–3)</w:t>
      </w:r>
    </w:p>
    <w:p>
      <w:pPr>
        <w:pStyle w:val="Compact"/>
        <w:numPr>
          <w:ilvl w:val="0"/>
          <w:numId w:val="1001"/>
        </w:numPr>
      </w:pPr>
      <w:r>
        <w:t xml:space="preserve">Год 2 (выход на серию 500 капсул/год): автоматизированная линия термосварки, +$80k</w:t>
      </w:r>
    </w:p>
    <w:p>
      <w:pPr>
        <w:pStyle w:val="Compact"/>
        <w:numPr>
          <w:ilvl w:val="0"/>
          <w:numId w:val="1001"/>
        </w:numPr>
      </w:pPr>
      <w:r>
        <w:t xml:space="preserve">Год 3 (международная экспансия): склад в Казахстане + ОАЭ, +$120k</w:t>
      </w:r>
    </w:p>
    <w:bookmarkEnd w:id="18"/>
    <w:bookmarkStart w:id="19" w:name="capital-amortization"/>
    <w:p>
      <w:pPr>
        <w:pStyle w:val="Heading3"/>
      </w:pPr>
      <w:r>
        <w:t xml:space="preserve">2.3 Capital amortization</w:t>
      </w:r>
    </w:p>
    <w:p>
      <w:pPr>
        <w:pStyle w:val="FirstParagraph"/>
      </w:pPr>
      <w:r>
        <w:t xml:space="preserve">Срок амортизации оборудования — 5 лет, помещений — 10 лет. В первый год амортизация — $30 тыс./год.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opex-операционные-расходы-по-годам"/>
    <w:p>
      <w:pPr>
        <w:pStyle w:val="Heading2"/>
      </w:pPr>
      <w:r>
        <w:t xml:space="preserve">3. OpEx — операционные расходы (по годам)</w:t>
      </w:r>
    </w:p>
    <w:bookmarkStart w:id="21" w:name="год-1-rd-прототипы-без-серийных-продаж"/>
    <w:p>
      <w:pPr>
        <w:pStyle w:val="Heading3"/>
      </w:pPr>
      <w:r>
        <w:t xml:space="preserve">3.1 Год 1 (R&amp;D + прототипы, без серийных продаж)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$/мес</w:t>
            </w:r>
          </w:p>
        </w:tc>
        <w:tc>
          <w:tcPr/>
          <w:p>
            <w:pPr>
              <w:pStyle w:val="Compact"/>
            </w:pPr>
            <w:r>
              <w:t xml:space="preserve">$/год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 (Аслан)</w:t>
            </w:r>
          </w:p>
        </w:tc>
        <w:tc>
          <w:tcPr/>
          <w:p>
            <w:pPr>
              <w:pStyle w:val="Compact"/>
            </w:pPr>
            <w:r>
              <w:t xml:space="preserve">8 000</w:t>
            </w:r>
          </w:p>
        </w:tc>
        <w:tc>
          <w:tcPr/>
          <w:p>
            <w:pPr>
              <w:pStyle w:val="Compact"/>
            </w:pPr>
            <w:r>
              <w:t xml:space="preserve">96 000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 (нанимаем после раунда)</w:t>
            </w:r>
          </w:p>
        </w:tc>
        <w:tc>
          <w:tcPr/>
          <w:p>
            <w:pPr>
              <w:pStyle w:val="Compact"/>
            </w:pPr>
            <w:r>
              <w:t xml:space="preserve">7 000</w:t>
            </w:r>
          </w:p>
        </w:tc>
        <w:tc>
          <w:tcPr/>
          <w:p>
            <w:pPr>
              <w:pStyle w:val="Compact"/>
            </w:pPr>
            <w:r>
              <w:t xml:space="preserve">84 000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инженера (mech + electronics)</w:t>
            </w:r>
          </w:p>
        </w:tc>
        <w:tc>
          <w:tcPr/>
          <w:p>
            <w:pPr>
              <w:pStyle w:val="Compact"/>
            </w:pPr>
            <w:r>
              <w:t xml:space="preserve">9 000</w:t>
            </w:r>
          </w:p>
        </w:tc>
        <w:tc>
          <w:tcPr/>
          <w:p>
            <w:pPr>
              <w:pStyle w:val="Compact"/>
            </w:pPr>
            <w:r>
              <w:t xml:space="preserve">108 000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 / админ</w:t>
            </w:r>
          </w:p>
        </w:tc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  <w:r>
              <w:t xml:space="preserve">24 000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Аренда офиса 50 м² + лаборатория</w:t>
            </w:r>
          </w:p>
        </w:tc>
        <w:tc>
          <w:tcPr/>
          <w:p>
            <w:pPr>
              <w:pStyle w:val="Compact"/>
            </w:pPr>
            <w:r>
              <w:t xml:space="preserve">3 000</w:t>
            </w:r>
          </w:p>
        </w:tc>
        <w:tc>
          <w:tcPr/>
          <w:p>
            <w:pPr>
              <w:pStyle w:val="Compact"/>
            </w:pPr>
            <w:r>
              <w:t xml:space="preserve">36 000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 (сайт, материалы, выставки)</w:t>
            </w:r>
          </w:p>
        </w:tc>
        <w:tc>
          <w:tcPr/>
          <w:p>
            <w:pPr>
              <w:pStyle w:val="Compact"/>
            </w:pPr>
            <w:r>
              <w:t xml:space="preserve">4 000</w:t>
            </w:r>
          </w:p>
        </w:tc>
        <w:tc>
          <w:tcPr/>
          <w:p>
            <w:pPr>
              <w:pStyle w:val="Compact"/>
            </w:pPr>
            <w:r>
              <w:t xml:space="preserve">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Юр.поддержка (NDA, договоры, патенты)</w:t>
            </w:r>
          </w:p>
        </w:tc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  <w:r>
              <w:t xml:space="preserve">24 000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Командировки (Япония-Mitsubishi, Германия-PreSens, Китай)</w:t>
            </w:r>
          </w:p>
        </w:tc>
        <w:tc>
          <w:tcPr/>
          <w:p>
            <w:pPr>
              <w:pStyle w:val="Compact"/>
            </w:pPr>
            <w:r>
              <w:t xml:space="preserve">2 500</w:t>
            </w:r>
          </w:p>
        </w:tc>
        <w:tc>
          <w:tcPr/>
          <w:p>
            <w:pPr>
              <w:pStyle w:val="Compact"/>
            </w:pPr>
            <w:r>
              <w:t xml:space="preserve">30 000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Связь, ПО, IT</w:t>
            </w:r>
          </w:p>
        </w:tc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  <w:r>
              <w:t xml:space="preserve">12 000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Прочее, резерв 10%</w:t>
            </w:r>
          </w:p>
        </w:tc>
        <w:tc>
          <w:tcPr/>
          <w:p>
            <w:pPr>
              <w:pStyle w:val="Compact"/>
            </w:pPr>
            <w:r>
              <w:t xml:space="preserve">4 000</w:t>
            </w:r>
          </w:p>
        </w:tc>
        <w:tc>
          <w:tcPr/>
          <w:p>
            <w:pPr>
              <w:pStyle w:val="Compact"/>
            </w:pPr>
            <w:r>
              <w:t xml:space="preserve">48 000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OpEx год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510 000</w:t>
            </w:r>
          </w:p>
        </w:tc>
      </w:tr>
    </w:tbl>
    <w:bookmarkEnd w:id="21"/>
    <w:bookmarkStart w:id="22" w:name="год-2-выход-на-первые-продажи"/>
    <w:p>
      <w:pPr>
        <w:pStyle w:val="Heading3"/>
      </w:pPr>
      <w:r>
        <w:t xml:space="preserve">3.2 Год 2 — выход на первые продажи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$/год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 (8 человек)</w:t>
            </w:r>
          </w:p>
        </w:tc>
        <w:tc>
          <w:tcPr/>
          <w:p>
            <w:pPr>
              <w:pStyle w:val="Compact"/>
            </w:pPr>
            <w:r>
              <w:t xml:space="preserve">580 000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Аренда + офис + лаборатория</w:t>
            </w:r>
          </w:p>
        </w:tc>
        <w:tc>
          <w:tcPr/>
          <w:p>
            <w:pPr>
              <w:pStyle w:val="Compact"/>
            </w:pPr>
            <w:r>
              <w:t xml:space="preserve">60 000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 + продажи</w:t>
            </w:r>
          </w:p>
        </w:tc>
        <w:tc>
          <w:tcPr/>
          <w:p>
            <w:pPr>
              <w:pStyle w:val="Compact"/>
            </w:pPr>
            <w:r>
              <w:t xml:space="preserve">120 000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расходные</w:t>
            </w:r>
          </w:p>
        </w:tc>
        <w:tc>
          <w:tcPr/>
          <w:p>
            <w:pPr>
              <w:pStyle w:val="Compact"/>
            </w:pPr>
            <w:r>
              <w:t xml:space="preserve">60 000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 + бухг</w:t>
            </w:r>
          </w:p>
        </w:tc>
        <w:tc>
          <w:tcPr/>
          <w:p>
            <w:pPr>
              <w:pStyle w:val="Compact"/>
            </w:pPr>
            <w:r>
              <w:t xml:space="preserve">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Командировки + выставки</w:t>
            </w:r>
          </w:p>
        </w:tc>
        <w:tc>
          <w:tcPr/>
          <w:p>
            <w:pPr>
              <w:pStyle w:val="Compact"/>
            </w:pPr>
            <w:r>
              <w:t xml:space="preserve">60 000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Прочее</w:t>
            </w:r>
          </w:p>
        </w:tc>
        <w:tc>
          <w:tcPr/>
          <w:p>
            <w:pPr>
              <w:pStyle w:val="Compact"/>
            </w:pPr>
            <w:r>
              <w:t xml:space="preserve">30 000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OpEx год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960 000</w:t>
            </w:r>
          </w:p>
        </w:tc>
      </w:tr>
    </w:tbl>
    <w:bookmarkEnd w:id="22"/>
    <w:bookmarkStart w:id="23" w:name="opex-по-годам"/>
    <w:p>
      <w:pPr>
        <w:pStyle w:val="Heading3"/>
      </w:pPr>
      <w:r>
        <w:t xml:space="preserve">3.3 OpEx по годам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OpEx, $</w:t>
            </w:r>
          </w:p>
        </w:tc>
        <w:tc>
          <w:tcPr/>
          <w:p>
            <w:pPr>
              <w:pStyle w:val="Compact"/>
            </w:pPr>
            <w:r>
              <w:t xml:space="preserve">Количество людей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510 000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960 000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1 800 000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4 000 000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7 000 000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прогноз-продаж-units-по-моделям"/>
    <w:p>
      <w:pPr>
        <w:pStyle w:val="Heading2"/>
      </w:pPr>
      <w:r>
        <w:t xml:space="preserve">4. Прогноз продаж (units по моделям)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Moto</w:t>
            </w:r>
          </w:p>
        </w:tc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Total units</w:t>
            </w:r>
          </w:p>
        </w:tc>
        <w:tc>
          <w:tcPr/>
          <w:p>
            <w:pPr>
              <w:pStyle w:val="Compact"/>
            </w:pPr>
            <w:r>
              <w:t xml:space="preserve">Total revenue, $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100 000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1 500 000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400 000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5 000 000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1 200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1 000 000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12 000 000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2 500</w:t>
            </w:r>
          </w:p>
        </w:tc>
        <w:tc>
          <w:tcPr/>
          <w:p>
            <w:pPr>
              <w:pStyle w:val="Compact"/>
            </w:pPr>
            <w:r>
              <w:t xml:space="preserve">1 500</w:t>
            </w:r>
          </w:p>
        </w:tc>
        <w:tc>
          <w:tcPr/>
          <w:p>
            <w:pPr>
              <w:pStyle w:val="Compact"/>
            </w:pPr>
            <w:r>
              <w:t xml:space="preserve">2 000 000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25 000 000</w:t>
            </w:r>
          </w:p>
        </w:tc>
      </w:tr>
    </w:tbl>
    <w:p>
      <w:pPr>
        <w:pStyle w:val="BlockText"/>
      </w:pPr>
      <w:r>
        <w:t xml:space="preserve">Продажи Strategic считаются в штуках упаковок; цена $5–10/шт., тендеры на 100k–2M штук в год после допуска к гособоронзаказу (ожидание 2028).</w:t>
      </w:r>
    </w:p>
    <w:bookmarkStart w:id="25" w:name="декомпозиция-выручки-2030-25m"/>
    <w:p>
      <w:pPr>
        <w:pStyle w:val="Heading3"/>
      </w:pPr>
      <w:r>
        <w:t xml:space="preserve">4.1 Декомпозиция выручки 2030 ($25M)</w:t>
      </w:r>
    </w:p>
    <w:p>
      <w:pPr>
        <w:pStyle w:val="Compact"/>
        <w:numPr>
          <w:ilvl w:val="0"/>
          <w:numId w:val="1002"/>
        </w:numPr>
      </w:pPr>
      <w:r>
        <w:t xml:space="preserve">Auto: 1000 × $7000 = $7.0M</w:t>
      </w:r>
    </w:p>
    <w:p>
      <w:pPr>
        <w:pStyle w:val="Compact"/>
        <w:numPr>
          <w:ilvl w:val="0"/>
          <w:numId w:val="1002"/>
        </w:numPr>
      </w:pPr>
      <w:r>
        <w:t xml:space="preserve">Moto: 600 × $2200 = $1.3M</w:t>
      </w:r>
    </w:p>
    <w:p>
      <w:pPr>
        <w:pStyle w:val="Compact"/>
        <w:numPr>
          <w:ilvl w:val="0"/>
          <w:numId w:val="1002"/>
        </w:numPr>
      </w:pPr>
      <w:r>
        <w:t xml:space="preserve">Vault: 2500 × $600 = $1.5M</w:t>
      </w:r>
    </w:p>
    <w:p>
      <w:pPr>
        <w:pStyle w:val="Compact"/>
        <w:numPr>
          <w:ilvl w:val="0"/>
          <w:numId w:val="1002"/>
        </w:numPr>
      </w:pPr>
      <w:r>
        <w:t xml:space="preserve">Archive: 1500 × $450 = $0.7M</w:t>
      </w:r>
    </w:p>
    <w:p>
      <w:pPr>
        <w:pStyle w:val="Compact"/>
        <w:numPr>
          <w:ilvl w:val="0"/>
          <w:numId w:val="1002"/>
        </w:numPr>
      </w:pPr>
      <w:r>
        <w:t xml:space="preserve">Strategic: 2 000 000 × $8 = $16.0M</w:t>
      </w:r>
    </w:p>
    <w:p>
      <w:pPr>
        <w:pStyle w:val="Compact"/>
        <w:numPr>
          <w:ilvl w:val="0"/>
          <w:numId w:val="1002"/>
        </w:numPr>
      </w:pPr>
      <w:r>
        <w:t xml:space="preserve">Лицензирование (3% royalties с зарубежных партнёров) = $1.0M</w:t>
      </w:r>
    </w:p>
    <w:p>
      <w:pPr>
        <w:pStyle w:val="Compact"/>
        <w:numPr>
          <w:ilvl w:val="0"/>
          <w:numId w:val="1002"/>
        </w:numPr>
      </w:pPr>
      <w:r>
        <w:t xml:space="preserve">Сервисная подписка на сменные абсорберы = $0.5M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Итого</w:t>
      </w:r>
      <w:r>
        <w:t xml:space="preserve"> </w:t>
      </w:r>
      <w:r>
        <w:t xml:space="preserve">= ~$28M (округлили до $25M консервативно)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прогноз-pl-20262030"/>
    <w:p>
      <w:pPr>
        <w:pStyle w:val="Heading2"/>
      </w:pPr>
      <w:r>
        <w:t xml:space="preserve">5. Прогноз P&amp;L 2026–2030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2030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1 500 000</w:t>
            </w:r>
          </w:p>
        </w:tc>
        <w:tc>
          <w:tcPr/>
          <w:p>
            <w:pPr>
              <w:pStyle w:val="Compact"/>
            </w:pPr>
            <w:r>
              <w:t xml:space="preserve">5 000 000</w:t>
            </w:r>
          </w:p>
        </w:tc>
        <w:tc>
          <w:tcPr/>
          <w:p>
            <w:pPr>
              <w:pStyle w:val="Compact"/>
            </w:pPr>
            <w:r>
              <w:t xml:space="preserve">12 000 000</w:t>
            </w:r>
          </w:p>
        </w:tc>
        <w:tc>
          <w:tcPr/>
          <w:p>
            <w:pPr>
              <w:pStyle w:val="Compact"/>
            </w:pPr>
            <w:r>
              <w:t xml:space="preserve">25 000 000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-450 000</w:t>
            </w:r>
          </w:p>
        </w:tc>
        <w:tc>
          <w:tcPr/>
          <w:p>
            <w:pPr>
              <w:pStyle w:val="Compact"/>
            </w:pPr>
            <w:r>
              <w:t xml:space="preserve">-1 400 000</w:t>
            </w:r>
          </w:p>
        </w:tc>
        <w:tc>
          <w:tcPr/>
          <w:p>
            <w:pPr>
              <w:pStyle w:val="Compact"/>
            </w:pPr>
            <w:r>
              <w:t xml:space="preserve">-3 000 000</w:t>
            </w:r>
          </w:p>
        </w:tc>
        <w:tc>
          <w:tcPr/>
          <w:p>
            <w:pPr>
              <w:pStyle w:val="Compact"/>
            </w:pPr>
            <w:r>
              <w:t xml:space="preserve">-6 000 000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1 050 000</w:t>
            </w:r>
          </w:p>
        </w:tc>
        <w:tc>
          <w:tcPr/>
          <w:p>
            <w:pPr>
              <w:pStyle w:val="Compact"/>
            </w:pPr>
            <w:r>
              <w:t xml:space="preserve">3 600 000</w:t>
            </w:r>
          </w:p>
        </w:tc>
        <w:tc>
          <w:tcPr/>
          <w:p>
            <w:pPr>
              <w:pStyle w:val="Compact"/>
            </w:pPr>
            <w:r>
              <w:t xml:space="preserve">9 000 000</w:t>
            </w:r>
          </w:p>
        </w:tc>
        <w:tc>
          <w:tcPr/>
          <w:p>
            <w:pPr>
              <w:pStyle w:val="Compact"/>
            </w:pPr>
            <w:r>
              <w:t xml:space="preserve">19 000 000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 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-510 000</w:t>
            </w:r>
          </w:p>
        </w:tc>
        <w:tc>
          <w:tcPr/>
          <w:p>
            <w:pPr>
              <w:pStyle w:val="Compact"/>
            </w:pPr>
            <w:r>
              <w:t xml:space="preserve">-960 000</w:t>
            </w:r>
          </w:p>
        </w:tc>
        <w:tc>
          <w:tcPr/>
          <w:p>
            <w:pPr>
              <w:pStyle w:val="Compact"/>
            </w:pPr>
            <w:r>
              <w:t xml:space="preserve">-1 800 000</w:t>
            </w:r>
          </w:p>
        </w:tc>
        <w:tc>
          <w:tcPr/>
          <w:p>
            <w:pPr>
              <w:pStyle w:val="Compact"/>
            </w:pPr>
            <w:r>
              <w:t xml:space="preserve">-4 000 000</w:t>
            </w:r>
          </w:p>
        </w:tc>
        <w:tc>
          <w:tcPr/>
          <w:p>
            <w:pPr>
              <w:pStyle w:val="Compact"/>
            </w:pPr>
            <w:r>
              <w:t xml:space="preserve">-7 000 000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-510 000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+1 800 000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+5 000 000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+12 000 000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 margin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Амортизация</w:t>
            </w:r>
          </w:p>
        </w:tc>
        <w:tc>
          <w:tcPr/>
          <w:p>
            <w:pPr>
              <w:pStyle w:val="Compact"/>
            </w:pPr>
            <w:r>
              <w:t xml:space="preserve">-30 000</w:t>
            </w:r>
          </w:p>
        </w:tc>
        <w:tc>
          <w:tcPr/>
          <w:p>
            <w:pPr>
              <w:pStyle w:val="Compact"/>
            </w:pPr>
            <w:r>
              <w:t xml:space="preserve">-50 000</w:t>
            </w:r>
          </w:p>
        </w:tc>
        <w:tc>
          <w:tcPr/>
          <w:p>
            <w:pPr>
              <w:pStyle w:val="Compact"/>
            </w:pPr>
            <w:r>
              <w:t xml:space="preserve">-80 000</w:t>
            </w:r>
          </w:p>
        </w:tc>
        <w:tc>
          <w:tcPr/>
          <w:p>
            <w:pPr>
              <w:pStyle w:val="Compact"/>
            </w:pPr>
            <w:r>
              <w:t xml:space="preserve">-120 000</w:t>
            </w:r>
          </w:p>
        </w:tc>
        <w:tc>
          <w:tcPr/>
          <w:p>
            <w:pPr>
              <w:pStyle w:val="Compact"/>
            </w:pPr>
            <w:r>
              <w:t xml:space="preserve">-150 000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</w:t>
            </w:r>
          </w:p>
        </w:tc>
        <w:tc>
          <w:tcPr/>
          <w:p>
            <w:pPr>
              <w:pStyle w:val="Compact"/>
            </w:pPr>
            <w:r>
              <w:t xml:space="preserve">-540 000</w:t>
            </w:r>
          </w:p>
        </w:tc>
        <w:tc>
          <w:tcPr/>
          <w:p>
            <w:pPr>
              <w:pStyle w:val="Compact"/>
            </w:pPr>
            <w:r>
              <w:t xml:space="preserve">+40 000</w:t>
            </w:r>
          </w:p>
        </w:tc>
        <w:tc>
          <w:tcPr/>
          <w:p>
            <w:pPr>
              <w:pStyle w:val="Compact"/>
            </w:pPr>
            <w:r>
              <w:t xml:space="preserve">+1 720 000</w:t>
            </w:r>
          </w:p>
        </w:tc>
        <w:tc>
          <w:tcPr/>
          <w:p>
            <w:pPr>
              <w:pStyle w:val="Compact"/>
            </w:pPr>
            <w:r>
              <w:t xml:space="preserve">+4 880 000</w:t>
            </w:r>
          </w:p>
        </w:tc>
        <w:tc>
          <w:tcPr/>
          <w:p>
            <w:pPr>
              <w:pStyle w:val="Compact"/>
            </w:pPr>
            <w:r>
              <w:t xml:space="preserve">+11 850 000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Налог на прибыль (15%)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-6 000</w:t>
            </w:r>
          </w:p>
        </w:tc>
        <w:tc>
          <w:tcPr/>
          <w:p>
            <w:pPr>
              <w:pStyle w:val="Compact"/>
            </w:pPr>
            <w:r>
              <w:t xml:space="preserve">-258 000</w:t>
            </w:r>
          </w:p>
        </w:tc>
        <w:tc>
          <w:tcPr/>
          <w:p>
            <w:pPr>
              <w:pStyle w:val="Compact"/>
            </w:pPr>
            <w:r>
              <w:t xml:space="preserve">-732 000</w:t>
            </w:r>
          </w:p>
        </w:tc>
        <w:tc>
          <w:tcPr/>
          <w:p>
            <w:pPr>
              <w:pStyle w:val="Compact"/>
            </w:pPr>
            <w:r>
              <w:t xml:space="preserve">-1 778 000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-540 000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+34 000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+1 462 000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+4 148 000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+10 072 000</w:t>
            </w:r>
          </w:p>
        </w:tc>
      </w:tr>
    </w:tbl>
    <w:p>
      <w:pPr>
        <w:pStyle w:val="BlockText"/>
      </w:pPr>
      <w:r>
        <w:t xml:space="preserve">Gross margin в 2027 ниже расчётных 78% из юнит-экономики — поправка на стартовые скидки первым клиентам (10–15%) и неоптимальные закупочные объёмы.</w:t>
      </w:r>
    </w:p>
    <w:p>
      <w:r>
        <w:pict>
          <v:rect style="width:0;height:1.5pt" o:hralign="center" o:hrstd="t" o:hr="t"/>
        </w:pict>
      </w:r>
    </w:p>
    <w:bookmarkEnd w:id="27"/>
    <w:bookmarkStart w:id="31" w:name="cash-flow-и-runway"/>
    <w:p>
      <w:pPr>
        <w:pStyle w:val="Heading2"/>
      </w:pPr>
      <w:r>
        <w:t xml:space="preserve">6. Cash flow и runway</w:t>
      </w:r>
    </w:p>
    <w:bookmarkStart w:id="28" w:name="pre-seed-раунд-750-000-2026"/>
    <w:p>
      <w:pPr>
        <w:pStyle w:val="Heading3"/>
      </w:pPr>
      <w:r>
        <w:t xml:space="preserve">6.1 Pre-seed раунд $750 000 (2026)</w:t>
      </w:r>
    </w:p>
    <w:p>
      <w:pPr>
        <w:pStyle w:val="FirstParagraph"/>
      </w:pPr>
      <w:r>
        <w:rPr>
          <w:b/>
          <w:bCs/>
        </w:rPr>
        <w:t xml:space="preserve">Использование</w:t>
      </w:r>
      <w:r>
        <w:t xml:space="preserve"> </w:t>
      </w:r>
      <w:r>
        <w:t xml:space="preserve">($750 000 на 18 мес):</w:t>
      </w:r>
      <w:r>
        <w:t xml:space="preserve"> </w:t>
      </w:r>
      <w:r>
        <w:t xml:space="preserve">- Патенты (РФ + ЕАПО + PCT): $60 000</w:t>
      </w:r>
      <w:r>
        <w:t xml:space="preserve"> </w:t>
      </w:r>
      <w:r>
        <w:t xml:space="preserve">- Прототипы №1, №2, №3 + испытания: $80 000</w:t>
      </w:r>
      <w:r>
        <w:t xml:space="preserve"> </w:t>
      </w:r>
      <w:r>
        <w:t xml:space="preserve">- Сертификация ГОСТ Р + ГОСТ В: $50 000</w:t>
      </w:r>
      <w:r>
        <w:t xml:space="preserve"> </w:t>
      </w:r>
      <w:r>
        <w:t xml:space="preserve">- CapEx (ридеры, сварочное, стенды): $60 000</w:t>
      </w:r>
      <w:r>
        <w:t xml:space="preserve"> </w:t>
      </w:r>
      <w:r>
        <w:t xml:space="preserve">- OpEx 12 мес: $350 000</w:t>
      </w:r>
      <w:r>
        <w:t xml:space="preserve"> </w:t>
      </w:r>
      <w:r>
        <w:t xml:space="preserve">- Маркетинг + первые продажи: $80 000</w:t>
      </w:r>
      <w:r>
        <w:t xml:space="preserve"> </w:t>
      </w:r>
      <w:r>
        <w:t xml:space="preserve">- Юр / регистрация: $30 000</w:t>
      </w:r>
      <w:r>
        <w:t xml:space="preserve"> </w:t>
      </w:r>
      <w:r>
        <w:t xml:space="preserve">- Резерв: $40 000</w:t>
      </w:r>
    </w:p>
    <w:p>
      <w:pPr>
        <w:pStyle w:val="BodyText"/>
      </w:pPr>
      <w:r>
        <w:rPr>
          <w:b/>
          <w:bCs/>
        </w:rPr>
        <w:t xml:space="preserve">Runway:</w:t>
      </w:r>
      <w:r>
        <w:t xml:space="preserve"> </w:t>
      </w:r>
      <w:r>
        <w:t xml:space="preserve">18 месяцев до запуска первых продаж и Series A.</w:t>
      </w:r>
    </w:p>
    <w:bookmarkEnd w:id="28"/>
    <w:bookmarkStart w:id="29" w:name="series-a-35m-середина-2027"/>
    <w:p>
      <w:pPr>
        <w:pStyle w:val="Heading3"/>
      </w:pPr>
      <w:r>
        <w:t xml:space="preserve">6.2 Series A $3–5M (середина 2027)</w:t>
      </w:r>
    </w:p>
    <w:p>
      <w:pPr>
        <w:pStyle w:val="FirstParagraph"/>
      </w:pPr>
      <w:r>
        <w:rPr>
          <w:b/>
          <w:bCs/>
        </w:rPr>
        <w:t xml:space="preserve">Использование:</w:t>
      </w:r>
      <w:r>
        <w:t xml:space="preserve"> </w:t>
      </w:r>
      <w:r>
        <w:t xml:space="preserve">автоматизированная линия серийного производства, выход в Казахстан + ОАЭ, расширение команды до 14 человек, маркетинг и продажи в премиум-сегменте.</w:t>
      </w:r>
    </w:p>
    <w:p>
      <w:pPr>
        <w:pStyle w:val="BodyText"/>
      </w:pPr>
      <w:r>
        <w:rPr>
          <w:b/>
          <w:bCs/>
        </w:rPr>
        <w:t xml:space="preserve">Целевая оценка post-money Series A:</w:t>
      </w:r>
      <w:r>
        <w:t xml:space="preserve"> </w:t>
      </w:r>
      <w:r>
        <w:t xml:space="preserve">$20–30M.</w:t>
      </w:r>
    </w:p>
    <w:bookmarkEnd w:id="29"/>
    <w:bookmarkStart w:id="30" w:name="cash-flow-по-годам"/>
    <w:p>
      <w:pPr>
        <w:pStyle w:val="Heading3"/>
      </w:pPr>
      <w:r>
        <w:t xml:space="preserve">6.3 Cash flow по годам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Open cash</w:t>
            </w:r>
          </w:p>
        </w:tc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Operating CF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Close cash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+750 000</w:t>
            </w:r>
          </w:p>
        </w:tc>
        <w:tc>
          <w:tcPr/>
          <w:p>
            <w:pPr>
              <w:pStyle w:val="Compact"/>
            </w:pPr>
            <w:r>
              <w:t xml:space="preserve">-510 000</w:t>
            </w:r>
          </w:p>
        </w:tc>
        <w:tc>
          <w:tcPr/>
          <w:p>
            <w:pPr>
              <w:pStyle w:val="Compact"/>
            </w:pPr>
            <w:r>
              <w:t xml:space="preserve">-160 000</w:t>
            </w:r>
          </w:p>
        </w:tc>
        <w:tc>
          <w:tcPr/>
          <w:p>
            <w:pPr>
              <w:pStyle w:val="Compact"/>
            </w:pPr>
            <w:r>
              <w:t xml:space="preserve">80 000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80 000</w:t>
            </w:r>
          </w:p>
        </w:tc>
        <w:tc>
          <w:tcPr/>
          <w:p>
            <w:pPr>
              <w:pStyle w:val="Compact"/>
            </w:pPr>
            <w:r>
              <w:t xml:space="preserve">+3 500 000</w:t>
            </w:r>
          </w:p>
        </w:tc>
        <w:tc>
          <w:tcPr/>
          <w:p>
            <w:pPr>
              <w:pStyle w:val="Compact"/>
            </w:pPr>
            <w:r>
              <w:t xml:space="preserve">+90 000</w:t>
            </w:r>
          </w:p>
        </w:tc>
        <w:tc>
          <w:tcPr/>
          <w:p>
            <w:pPr>
              <w:pStyle w:val="Compact"/>
            </w:pPr>
            <w:r>
              <w:t xml:space="preserve">-100 000</w:t>
            </w:r>
          </w:p>
        </w:tc>
        <w:tc>
          <w:tcPr/>
          <w:p>
            <w:pPr>
              <w:pStyle w:val="Compact"/>
            </w:pPr>
            <w:r>
              <w:t xml:space="preserve">3 570 000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3 570 000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+1 800 000</w:t>
            </w:r>
          </w:p>
        </w:tc>
        <w:tc>
          <w:tcPr/>
          <w:p>
            <w:pPr>
              <w:pStyle w:val="Compact"/>
            </w:pPr>
            <w:r>
              <w:t xml:space="preserve">-100 000</w:t>
            </w:r>
          </w:p>
        </w:tc>
        <w:tc>
          <w:tcPr/>
          <w:p>
            <w:pPr>
              <w:pStyle w:val="Compact"/>
            </w:pPr>
            <w:r>
              <w:t xml:space="preserve">5 270 000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5 270 000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+5 000 000</w:t>
            </w:r>
          </w:p>
        </w:tc>
        <w:tc>
          <w:tcPr/>
          <w:p>
            <w:pPr>
              <w:pStyle w:val="Compact"/>
            </w:pPr>
            <w:r>
              <w:t xml:space="preserve">-120 000</w:t>
            </w:r>
          </w:p>
        </w:tc>
        <w:tc>
          <w:tcPr/>
          <w:p>
            <w:pPr>
              <w:pStyle w:val="Compact"/>
            </w:pPr>
            <w:r>
              <w:t xml:space="preserve">10 150 000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10 150 000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+12 000 000</w:t>
            </w:r>
          </w:p>
        </w:tc>
        <w:tc>
          <w:tcPr/>
          <w:p>
            <w:pPr>
              <w:pStyle w:val="Compact"/>
            </w:pPr>
            <w:r>
              <w:t xml:space="preserve">-150 000</w:t>
            </w:r>
          </w:p>
        </w:tc>
        <w:tc>
          <w:tcPr/>
          <w:p>
            <w:pPr>
              <w:pStyle w:val="Compact"/>
            </w:pPr>
            <w:r>
              <w:t xml:space="preserve">22 000 000</w:t>
            </w:r>
          </w:p>
        </w:tc>
      </w:tr>
    </w:tbl>
    <w:p>
      <w:pPr>
        <w:pStyle w:val="BodyText"/>
      </w:pPr>
      <w:r>
        <w:t xml:space="preserve">К 2030 компания cash-positive с $22M на счетах. Возможны дивиденды 20–30% или раунд C под международную экспансию.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ensitivity-чувствительность"/>
    <w:p>
      <w:pPr>
        <w:pStyle w:val="Heading2"/>
      </w:pPr>
      <w:r>
        <w:t xml:space="preserve">7. Sensitivity (чувствительность)</w:t>
      </w:r>
    </w:p>
    <w:bookmarkStart w:id="32" w:name="падение-средней-цены-на-20"/>
    <w:p>
      <w:pPr>
        <w:pStyle w:val="Heading3"/>
      </w:pPr>
      <w:r>
        <w:t xml:space="preserve">7.1 Падение средней цены на 20%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Base revenue</w:t>
            </w:r>
          </w:p>
        </w:tc>
        <w:tc>
          <w:tcPr/>
          <w:p>
            <w:pPr>
              <w:pStyle w:val="Compact"/>
            </w:pPr>
            <w:r>
              <w:t xml:space="preserve">-20% revenue</w:t>
            </w:r>
          </w:p>
        </w:tc>
        <w:tc>
          <w:tcPr/>
          <w:p>
            <w:pPr>
              <w:pStyle w:val="Compact"/>
            </w:pPr>
            <w:r>
              <w:t xml:space="preserve">-20% EBITDA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1.5M</w:t>
            </w:r>
          </w:p>
        </w:tc>
        <w:tc>
          <w:tcPr/>
          <w:p>
            <w:pPr>
              <w:pStyle w:val="Compact"/>
            </w:pPr>
            <w:r>
              <w:t xml:space="preserve">1.2M</w:t>
            </w:r>
          </w:p>
        </w:tc>
        <w:tc>
          <w:tcPr/>
          <w:p>
            <w:pPr>
              <w:pStyle w:val="Compact"/>
            </w:pPr>
            <w:r>
              <w:t xml:space="preserve">-200k (отрицательная)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5.0M</w:t>
            </w:r>
          </w:p>
        </w:tc>
        <w:tc>
          <w:tcPr/>
          <w:p>
            <w:pPr>
              <w:pStyle w:val="Compact"/>
            </w:pPr>
            <w:r>
              <w:t xml:space="preserve">4.0M</w:t>
            </w:r>
          </w:p>
        </w:tc>
        <w:tc>
          <w:tcPr/>
          <w:p>
            <w:pPr>
              <w:pStyle w:val="Compact"/>
            </w:pPr>
            <w:r>
              <w:t xml:space="preserve">800k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12M</w:t>
            </w:r>
          </w:p>
        </w:tc>
        <w:tc>
          <w:tcPr/>
          <w:p>
            <w:pPr>
              <w:pStyle w:val="Compact"/>
            </w:pPr>
            <w:r>
              <w:t xml:space="preserve">9.6M</w:t>
            </w:r>
          </w:p>
        </w:tc>
        <w:tc>
          <w:tcPr/>
          <w:p>
            <w:pPr>
              <w:pStyle w:val="Compact"/>
            </w:pPr>
            <w:r>
              <w:t xml:space="preserve">2.6M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25M</w:t>
            </w:r>
          </w:p>
        </w:tc>
        <w:tc>
          <w:tcPr/>
          <w:p>
            <w:pPr>
              <w:pStyle w:val="Compact"/>
            </w:pPr>
            <w:r>
              <w:t xml:space="preserve">20M</w:t>
            </w:r>
          </w:p>
        </w:tc>
        <w:tc>
          <w:tcPr/>
          <w:p>
            <w:pPr>
              <w:pStyle w:val="Compact"/>
            </w:pPr>
            <w:r>
              <w:t xml:space="preserve">9M</w:t>
            </w:r>
          </w:p>
        </w:tc>
      </w:tr>
    </w:tbl>
    <w:p>
      <w:pPr>
        <w:pStyle w:val="BlockText"/>
      </w:pPr>
      <w:r>
        <w:t xml:space="preserve">При падении цены на 20% pre-seed оказывается недостаточен — потребуется bridge round $300k до Series A.</w:t>
      </w:r>
    </w:p>
    <w:bookmarkEnd w:id="32"/>
    <w:bookmarkStart w:id="33" w:name="X80c66d90bbb55d9a883d974c2774b6a4ac65f5d"/>
    <w:p>
      <w:pPr>
        <w:pStyle w:val="Heading3"/>
      </w:pPr>
      <w:r>
        <w:t xml:space="preserve">7.2 Задержка тендера Росрезерва на 12 месяцев</w:t>
      </w:r>
    </w:p>
    <w:p>
      <w:pPr>
        <w:pStyle w:val="FirstParagraph"/>
      </w:pPr>
      <w:r>
        <w:t xml:space="preserve">Strategic-сегмент даёт ~60% выручки в долгосрочной перспективе. Задержка тендера на 12 мес. сдвигает весь cash flow на год; 2030 выручка падает с $25M до $15M, EBITDA до $7M. Компания всё равно прибыльна, но меньше упирается в Series A условия.</w:t>
      </w:r>
    </w:p>
    <w:bookmarkEnd w:id="33"/>
    <w:bookmarkStart w:id="34" w:name="курсовые-риски"/>
    <w:p>
      <w:pPr>
        <w:pStyle w:val="Heading3"/>
      </w:pPr>
      <w:r>
        <w:t xml:space="preserve">7.3 Курсовые риски</w:t>
      </w:r>
    </w:p>
    <w:p>
      <w:pPr>
        <w:pStyle w:val="Compact"/>
        <w:numPr>
          <w:ilvl w:val="0"/>
          <w:numId w:val="1003"/>
        </w:numPr>
      </w:pPr>
      <w:r>
        <w:t xml:space="preserve">Себестоимость на 60% валютная (PreSens, Mitsubishi, китайский ламинат); продажи в РФ — рублёвые.</w:t>
      </w:r>
    </w:p>
    <w:p>
      <w:pPr>
        <w:pStyle w:val="Compact"/>
        <w:numPr>
          <w:ilvl w:val="0"/>
          <w:numId w:val="1003"/>
        </w:numPr>
      </w:pPr>
      <w:r>
        <w:t xml:space="preserve">При девальвации рубля на 30% маржа в РФ-сегменте падает с 78% до 65%.</w:t>
      </w:r>
    </w:p>
    <w:p>
      <w:pPr>
        <w:pStyle w:val="Compact"/>
        <w:numPr>
          <w:ilvl w:val="0"/>
          <w:numId w:val="1003"/>
        </w:numPr>
      </w:pPr>
      <w:r>
        <w:t xml:space="preserve">Митигация: продажи в премиум-сегмент (Auto, Vault) фиксируются в $/€; российские продажи — индексируются по ЦБ.</w:t>
      </w:r>
    </w:p>
    <w:bookmarkEnd w:id="34"/>
    <w:bookmarkStart w:id="35" w:name="конкурентный-риск"/>
    <w:p>
      <w:pPr>
        <w:pStyle w:val="Heading3"/>
      </w:pPr>
      <w:r>
        <w:t xml:space="preserve">7.4 Конкурентный риск</w:t>
      </w:r>
    </w:p>
    <w:p>
      <w:pPr>
        <w:pStyle w:val="Compact"/>
        <w:numPr>
          <w:ilvl w:val="0"/>
          <w:numId w:val="1004"/>
        </w:numPr>
      </w:pPr>
      <w:r>
        <w:t xml:space="preserve">Если CarCapsule или Cortec выпустят аргоновую капсулу с мониторингом за 18 мес — наша позиция Auto-сегмента ослаблена.</w:t>
      </w:r>
    </w:p>
    <w:p>
      <w:pPr>
        <w:pStyle w:val="Compact"/>
        <w:numPr>
          <w:ilvl w:val="0"/>
          <w:numId w:val="1004"/>
        </w:numPr>
      </w:pPr>
      <w:r>
        <w:t xml:space="preserve">Митигация: ускорить патент (приоритет 2026), эксклюзивные дистр.договоры с PreSens и Mitsubishi на ЕАЭС.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точка-безубыточности-break-even-analysis"/>
    <w:p>
      <w:pPr>
        <w:pStyle w:val="Heading2"/>
      </w:pPr>
      <w:r>
        <w:t xml:space="preserve">8. Точка безубыточности (break-even analysis)</w:t>
      </w:r>
    </w:p>
    <w:p>
      <w:pPr>
        <w:pStyle w:val="FirstParagraph"/>
      </w:pPr>
      <w:r>
        <w:rPr>
          <w:b/>
          <w:bCs/>
        </w:rPr>
        <w:t xml:space="preserve">По модели Auto:</w:t>
      </w:r>
      <w:r>
        <w:t xml:space="preserve"> </w:t>
      </w:r>
      <w:r>
        <w:t xml:space="preserve">- Fixed costs (OpEx + амортизация): $540k/год = $45k/мес</w:t>
      </w:r>
      <w:r>
        <w:t xml:space="preserve"> </w:t>
      </w:r>
      <w:r>
        <w:t xml:space="preserve">- Gross profit per unit: $5 650</w:t>
      </w:r>
      <w:r>
        <w:t xml:space="preserve"> </w:t>
      </w:r>
      <w:r>
        <w:t xml:space="preserve">- Break-even: 540 000 / 5 650 =</w:t>
      </w:r>
      <w:r>
        <w:t xml:space="preserve"> </w:t>
      </w:r>
      <w:r>
        <w:rPr>
          <w:b/>
          <w:bCs/>
        </w:rPr>
        <w:t xml:space="preserve">96 капсул в год</w:t>
      </w:r>
      <w:r>
        <w:t xml:space="preserve"> </w:t>
      </w:r>
      <w:r>
        <w:t xml:space="preserve">(8 капсул/месяц)</w:t>
      </w:r>
    </w:p>
    <w:p>
      <w:pPr>
        <w:pStyle w:val="BodyText"/>
      </w:pPr>
      <w:r>
        <w:rPr>
          <w:b/>
          <w:bCs/>
        </w:rPr>
        <w:t xml:space="preserve">По всему бизнесу (взвешенный mix):</w:t>
      </w:r>
      <w:r>
        <w:t xml:space="preserve"> </w:t>
      </w:r>
      <w:r>
        <w:t xml:space="preserve">- Средневзвешенный gross profit per unit ≈ $1 200 (с учётом Strategic считаемых пакетами)</w:t>
      </w:r>
      <w:r>
        <w:t xml:space="preserve"> </w:t>
      </w:r>
      <w:r>
        <w:t xml:space="preserve">- Год 1 (без продаж): убыток покрывается раундом</w:t>
      </w:r>
      <w:r>
        <w:t xml:space="preserve"> </w:t>
      </w:r>
      <w:r>
        <w:t xml:space="preserve">- Год 2 break-even: ~800 эквивалент-капсул при OpEx $960k → достижимо</w:t>
      </w:r>
    </w:p>
    <w:p>
      <w:r>
        <w:pict>
          <v:rect style="width:0;height:1.5pt" o:hralign="center" o:hrstd="t" o:hr="t"/>
        </w:pict>
      </w:r>
    </w:p>
    <w:bookmarkEnd w:id="37"/>
    <w:bookmarkStart w:id="38" w:name="терминал-value-для-venture-инвестора"/>
    <w:p>
      <w:pPr>
        <w:pStyle w:val="Heading2"/>
      </w:pPr>
      <w:r>
        <w:t xml:space="preserve">9. Терминал value (для venture-инвестора)</w:t>
      </w:r>
    </w:p>
    <w:p>
      <w:pPr>
        <w:pStyle w:val="FirstParagraph"/>
      </w:pPr>
      <w:r>
        <w:t xml:space="preserve">Метод DCF с ставкой 25% и terminal growth 5%:</w:t>
      </w:r>
    </w:p>
    <w:p>
      <w:pPr>
        <w:pStyle w:val="Compact"/>
        <w:numPr>
          <w:ilvl w:val="0"/>
          <w:numId w:val="1005"/>
        </w:numPr>
      </w:pPr>
      <w:r>
        <w:t xml:space="preserve">Sum of FCF 2026–2030: $19M (после налогов)</w:t>
      </w:r>
    </w:p>
    <w:p>
      <w:pPr>
        <w:pStyle w:val="Compact"/>
        <w:numPr>
          <w:ilvl w:val="0"/>
          <w:numId w:val="1005"/>
        </w:numPr>
      </w:pPr>
      <w:r>
        <w:t xml:space="preserve">Terminal value 2030 (5x EBITDA): $60M</w:t>
      </w:r>
    </w:p>
    <w:p>
      <w:pPr>
        <w:pStyle w:val="Compact"/>
        <w:numPr>
          <w:ilvl w:val="0"/>
          <w:numId w:val="1005"/>
        </w:numPr>
      </w:pPr>
      <w:r>
        <w:t xml:space="preserve">Discounted total value 2026: ~$30M</w:t>
      </w:r>
    </w:p>
    <w:p>
      <w:pPr>
        <w:pStyle w:val="FirstParagraph"/>
      </w:pPr>
      <w:r>
        <w:rPr>
          <w:b/>
          <w:bCs/>
        </w:rPr>
        <w:t xml:space="preserve">Метод сравнимых сделок (Pitchbook IoT/deeptech 2024–2025):</w:t>
      </w:r>
      <w:r>
        <w:t xml:space="preserve"> </w:t>
      </w:r>
      <w:r>
        <w:t xml:space="preserve">- Pre-seed deeptech c патентом и MVP: $5–10M post-money</w:t>
      </w:r>
      <w:r>
        <w:t xml:space="preserve"> </w:t>
      </w:r>
      <w:r>
        <w:t xml:space="preserve">- Series A после первых тендеров: $25–40M post-money</w:t>
      </w:r>
      <w:r>
        <w:t xml:space="preserve"> </w:t>
      </w:r>
      <w:r>
        <w:t xml:space="preserve">- Series B после $5M ARR: $80–150M post-money</w:t>
      </w:r>
    </w:p>
    <w:p>
      <w:pPr>
        <w:pStyle w:val="BodyText"/>
      </w:pPr>
      <w:r>
        <w:rPr>
          <w:b/>
          <w:bCs/>
        </w:rPr>
        <w:t xml:space="preserve">Оценка для pre-seed раунда $750k:</w:t>
      </w:r>
      <w:r>
        <w:t xml:space="preserve"> </w:t>
      </w:r>
      <w:r>
        <w:t xml:space="preserve">$9.4M post-money → 8% equity для инвестора. Стандарт по отрасли.</w:t>
      </w:r>
    </w:p>
    <w:p>
      <w:r>
        <w:pict>
          <v:rect style="width:0;height:1.5pt" o:hralign="center" o:hrstd="t" o:hr="t"/>
        </w:pict>
      </w:r>
    </w:p>
    <w:bookmarkEnd w:id="38"/>
    <w:bookmarkStart w:id="39" w:name="Xcf84b8ad5756f0f7132d46e1c96b3b4ccc98bde"/>
    <w:p>
      <w:pPr>
        <w:pStyle w:val="Heading2"/>
      </w:pPr>
      <w:r>
        <w:t xml:space="preserve">10. Что делает модель более привлекательной для инвестора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Высокая маржа</w:t>
      </w:r>
      <w:r>
        <w:t xml:space="preserve"> </w:t>
      </w:r>
      <w:r>
        <w:t xml:space="preserve">(78% средневзвешенно) — характерно для патент-защищённых deeptech-продуктов.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Множественные сегменты</w:t>
      </w:r>
      <w:r>
        <w:t xml:space="preserve"> </w:t>
      </w:r>
      <w:r>
        <w:t xml:space="preserve">— снижение концентрационного риска (нет зависимости от одного клиента).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Государственный канал</w:t>
      </w:r>
      <w:r>
        <w:t xml:space="preserve"> </w:t>
      </w:r>
      <w:r>
        <w:t xml:space="preserve">(Росрезерв, Минздрав, Минобороны РФ) — дополнительный буфер.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Международные каналы</w:t>
      </w:r>
      <w:r>
        <w:t xml:space="preserve"> </w:t>
      </w:r>
      <w:r>
        <w:t xml:space="preserve">уже в работе (Аслан имеет связи в КНР, Казахстане, Ближнем Востоке).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Лицензирование</w:t>
      </w:r>
      <w:r>
        <w:t xml:space="preserve"> </w:t>
      </w:r>
      <w:r>
        <w:t xml:space="preserve">— путь к высокомаржинальной recurring revenue без CapEx.</w:t>
      </w:r>
    </w:p>
    <w:p>
      <w:r>
        <w:pict>
          <v:rect style="width:0;height:1.5pt" o:hralign="center" o:hrstd="t" o:hr="t"/>
        </w:pict>
      </w:r>
    </w:p>
    <w:bookmarkEnd w:id="39"/>
    <w:bookmarkStart w:id="40" w:name="что-делает-модель-рискованной-честно"/>
    <w:p>
      <w:pPr>
        <w:pStyle w:val="Heading2"/>
      </w:pPr>
      <w:r>
        <w:t xml:space="preserve">11. Что делает модель рискованной (честно)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Команда пока на 1 человеке</w:t>
      </w:r>
      <w:r>
        <w:t xml:space="preserve"> </w:t>
      </w:r>
      <w:r>
        <w:t xml:space="preserve">— ключевые роли CTO/Sales/R&amp;D ещё не заняты.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Прототипа нет</w:t>
      </w:r>
      <w:r>
        <w:t xml:space="preserve"> </w:t>
      </w:r>
      <w:r>
        <w:t xml:space="preserve">— все цифры на основе расчётов, не наблюдений.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Тендеры РФ непредсказуемы</w:t>
      </w:r>
      <w:r>
        <w:t xml:space="preserve"> </w:t>
      </w:r>
      <w:r>
        <w:t xml:space="preserve">— могут не открыться вовремя.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Технологическая исполнимость</w:t>
      </w:r>
      <w:r>
        <w:t xml:space="preserve"> </w:t>
      </w:r>
      <w:r>
        <w:t xml:space="preserve">— зависит от качества ламината и оптического считывания, нужны полевые испытания.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Срок патента</w:t>
      </w:r>
      <w:r>
        <w:t xml:space="preserve"> </w:t>
      </w:r>
      <w:r>
        <w:t xml:space="preserve">— может затянуться до 24 мес.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актуализируется. Версия 1.0 от 2026-05-08.</w:t>
      </w:r>
    </w:p>
    <w:p>
      <w:pPr>
        <w:pStyle w:val="BodyText"/>
      </w:pPr>
      <w:r>
        <w:t xml:space="preserve">После завершения первых испытаний прототипа №1 (Q3 2026) модель будет пересчитана с реальными данными.</w:t>
      </w:r>
    </w:p>
    <w:p>
      <w:pPr>
        <w:pStyle w:val="BodyText"/>
      </w:pPr>
      <w:r>
        <w:t xml:space="preserve">Заказчик: Аслан КАА · idriskaaa@gmail.com · aslankaa.com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2026-05-08T21:13:01Z</dcterms:created>
  <dcterms:modified xsi:type="dcterms:W3CDTF">2026-05-08T21:13:01Z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