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inertum-системы-инертного-хранения"/>
    <w:p>
      <w:pPr>
        <w:pStyle w:val="Heading1"/>
      </w:pPr>
      <w:r>
        <w:t xml:space="preserve">INERTUM — Системы инертного хранения</w:t>
      </w:r>
    </w:p>
    <w:bookmarkStart w:id="9" w:name="X6c90e0e07270361b351f26653d7865d45304a60"/>
    <w:p>
      <w:pPr>
        <w:pStyle w:val="Heading2"/>
      </w:pPr>
      <w:r>
        <w:t xml:space="preserve">Питч-дек для инвесторов · Pre-Seed · v1.0 · 2026-05-08</w:t>
      </w:r>
    </w:p>
    <w:p>
      <w:pPr>
        <w:pStyle w:val="FirstParagraph"/>
      </w:pPr>
      <w:r>
        <w:rPr>
          <w:b/>
          <w:bCs/>
        </w:rPr>
        <w:t xml:space="preserve">Заказчик:</w:t>
      </w:r>
      <w:r>
        <w:t xml:space="preserve"> </w:t>
      </w:r>
      <w:r>
        <w:t xml:space="preserve">Аслан КАА (idriskaaa@gmail.com · aslankaa.com)</w:t>
      </w:r>
      <w:r>
        <w:t xml:space="preserve"> </w:t>
      </w:r>
      <w:r>
        <w:rPr>
          <w:b/>
          <w:bCs/>
        </w:rPr>
        <w:t xml:space="preserve">Назначение:</w:t>
      </w:r>
      <w:r>
        <w:t xml:space="preserve"> </w:t>
      </w:r>
      <w:r>
        <w:t xml:space="preserve">seed/pre-seed раунд $500k–$1M на финализацию патента, изготовление 3 прототипов и первые контракты.</w:t>
      </w:r>
      <w:r>
        <w:t xml:space="preserve"> </w:t>
      </w:r>
      <w:r>
        <w:rPr>
          <w:b/>
          <w:bCs/>
        </w:rPr>
        <w:t xml:space="preserve">Формат:</w:t>
      </w:r>
      <w:r>
        <w:t xml:space="preserve"> </w:t>
      </w:r>
      <w:r>
        <w:t xml:space="preserve">12 слайдов в стиле Y Combinator. Из этого MD можно собрать PowerPoint / Canva / Keynote / PDF.</w:t>
      </w:r>
      <w:r>
        <w:t xml:space="preserve"> </w:t>
      </w:r>
      <w:r>
        <w:rPr>
          <w:b/>
          <w:bCs/>
        </w:rPr>
        <w:t xml:space="preserve">Рабочее имя:</w:t>
      </w:r>
      <w:r>
        <w:t xml:space="preserve"> </w:t>
      </w:r>
      <w:r>
        <w:rPr>
          <w:b/>
          <w:bCs/>
        </w:rPr>
        <w:t xml:space="preserve">INERTUM</w:t>
      </w:r>
      <w:r>
        <w:t xml:space="preserve"> </w:t>
      </w:r>
      <w:r>
        <w:t xml:space="preserve">(от лат.</w:t>
      </w:r>
      <w:r>
        <w:t xml:space="preserve"> </w:t>
      </w:r>
      <w:r>
        <w:rPr>
          <w:i/>
          <w:iCs/>
        </w:rPr>
        <w:t xml:space="preserve">inertus</w:t>
      </w:r>
      <w:r>
        <w:t xml:space="preserve"> </w:t>
      </w:r>
      <w:r>
        <w:t xml:space="preserve">— инертный, неподвижный). Финальное имя — после проверки в Роспатенте на товарный знак.</w:t>
      </w:r>
    </w:p>
    <w:p>
      <w:r>
        <w:pict>
          <v:rect style="width:0;height:1.5pt" o:hralign="center" o:hrstd="t" o:hr="t"/>
        </w:pict>
      </w:r>
    </w:p>
    <w:bookmarkEnd w:id="9"/>
    <w:bookmarkStart w:id="10" w:name="слайд-1-title"/>
    <w:p>
      <w:pPr>
        <w:pStyle w:val="Heading2"/>
      </w:pPr>
      <w:r>
        <w:t xml:space="preserve">Слайд 1 — Title</w:t>
      </w:r>
    </w:p>
    <w:p>
      <w:pPr>
        <w:pStyle w:val="SourceCode"/>
      </w:pPr>
      <w:r>
        <w:rPr>
          <w:rStyle w:val="VerbatimChar"/>
        </w:rPr>
        <w:t xml:space="preserve">INERTUM</w:t>
      </w:r>
      <w:r>
        <w:br/>
      </w:r>
      <w:r>
        <w:rPr>
          <w:rStyle w:val="VerbatimChar"/>
        </w:rPr>
        <w:t xml:space="preserve">Системы долговременного хранения промышленных</w:t>
      </w:r>
      <w:r>
        <w:br/>
      </w:r>
      <w:r>
        <w:rPr>
          <w:rStyle w:val="VerbatimChar"/>
        </w:rPr>
        <w:t xml:space="preserve">и коллекционных изделий в инертной газовой среде</w:t>
      </w:r>
      <w:r>
        <w:br/>
      </w:r>
      <w:r>
        <w:br/>
      </w:r>
      <w:r>
        <w:rPr>
          <w:rStyle w:val="VerbatimChar"/>
        </w:rPr>
        <w:t xml:space="preserve">Inert gas preservation capsules · 50 years protection</w:t>
      </w:r>
      <w:r>
        <w:br/>
      </w:r>
      <w:r>
        <w:rPr>
          <w:rStyle w:val="VerbatimChar"/>
        </w:rPr>
        <w:t xml:space="preserve">Pre-Seed round · 2026-05</w:t>
      </w:r>
      <w:r>
        <w:br/>
      </w:r>
      <w:r>
        <w:br/>
      </w:r>
      <w:r>
        <w:rPr>
          <w:rStyle w:val="VerbatimChar"/>
        </w:rPr>
        <w:t xml:space="preserve">Аслан КАА · idriskaaa@gmail.com · aslankaa.com</w:t>
      </w:r>
    </w:p>
    <w:p>
      <w:pPr>
        <w:pStyle w:val="FirstParagraph"/>
      </w:pPr>
      <w:r>
        <w:rPr>
          <w:b/>
          <w:bCs/>
        </w:rPr>
        <w:t xml:space="preserve">Визуал:</w:t>
      </w:r>
      <w:r>
        <w:t xml:space="preserve"> </w:t>
      </w:r>
      <w:r>
        <w:t xml:space="preserve">силуэт коллекционного авто внутри прозрачной капсулы; индикатор «O₂: 0.4%» в углу.</w:t>
      </w:r>
    </w:p>
    <w:p>
      <w:r>
        <w:pict>
          <v:rect style="width:0;height:1.5pt" o:hralign="center" o:hrstd="t" o:hr="t"/>
        </w:pict>
      </w:r>
    </w:p>
    <w:bookmarkEnd w:id="10"/>
    <w:bookmarkStart w:id="11" w:name="слайд-2-problem"/>
    <w:p>
      <w:pPr>
        <w:pStyle w:val="Heading2"/>
      </w:pPr>
      <w:r>
        <w:t xml:space="preserve">Слайд 2 — Problem</w:t>
      </w:r>
    </w:p>
    <w:p>
      <w:pPr>
        <w:pStyle w:val="BlockText"/>
      </w:pPr>
      <w:r>
        <w:rPr>
          <w:b/>
          <w:bCs/>
        </w:rPr>
        <w:t xml:space="preserve">Богатые активы гниют, потому что упаковки для них не существует.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Сегмент</w:t>
            </w:r>
          </w:p>
        </w:tc>
        <w:tc>
          <w:tcPr/>
          <w:p>
            <w:pPr>
              <w:pStyle w:val="Compact"/>
            </w:pPr>
            <w:r>
              <w:t xml:space="preserve">Что портится</w:t>
            </w:r>
          </w:p>
        </w:tc>
        <w:tc>
          <w:tcPr/>
          <w:p>
            <w:pPr>
              <w:pStyle w:val="Compact"/>
            </w:pPr>
            <w:r>
              <w:t xml:space="preserve">Стоимость потерь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Коллекционные авто</w:t>
            </w:r>
          </w:p>
        </w:tc>
        <w:tc>
          <w:tcPr/>
          <w:p>
            <w:pPr>
              <w:pStyle w:val="Compact"/>
            </w:pPr>
            <w:r>
              <w:t xml:space="preserve">Коррозия, окисление резины и кожи</w:t>
            </w:r>
          </w:p>
        </w:tc>
        <w:tc>
          <w:tcPr/>
          <w:p>
            <w:pPr>
              <w:pStyle w:val="Compact"/>
            </w:pPr>
            <w:r>
              <w:t xml:space="preserve">$20B страхового рынка, ~5–10% потерь стоимости/год при сезонном хранении (Hagerty)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Музейные артефакты</w:t>
            </w:r>
          </w:p>
        </w:tc>
        <w:tc>
          <w:tcPr/>
          <w:p>
            <w:pPr>
              <w:pStyle w:val="Compact"/>
            </w:pPr>
            <w:r>
              <w:t xml:space="preserve">Окисление металлов, выцветание</w:t>
            </w:r>
          </w:p>
        </w:tc>
        <w:tc>
          <w:tcPr/>
          <w:p>
            <w:pPr>
              <w:pStyle w:val="Compact"/>
            </w:pPr>
            <w:r>
              <w:t xml:space="preserve">До 15% коллекций недоступно публике из-за деградации (ICOM)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Стратегические резервы РФ</w:t>
            </w:r>
          </w:p>
        </w:tc>
        <w:tc>
          <w:tcPr/>
          <w:p>
            <w:pPr>
              <w:pStyle w:val="Compact"/>
            </w:pPr>
            <w:r>
              <w:t xml:space="preserve">Коррозия, потеря годности</w:t>
            </w:r>
          </w:p>
        </w:tc>
        <w:tc>
          <w:tcPr/>
          <w:p>
            <w:pPr>
              <w:pStyle w:val="Compact"/>
            </w:pPr>
            <w:r>
              <w:t xml:space="preserve">Росрезерв и Минздрав теряют миллиарды ₽/год на пересортицу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Фарма / вакцины</w:t>
            </w:r>
          </w:p>
        </w:tc>
        <w:tc>
          <w:tcPr/>
          <w:p>
            <w:pPr>
              <w:pStyle w:val="Compact"/>
            </w:pPr>
            <w:r>
              <w:t xml:space="preserve">Деградация активных веществ</w:t>
            </w:r>
          </w:p>
        </w:tc>
        <w:tc>
          <w:tcPr/>
          <w:p>
            <w:pPr>
              <w:pStyle w:val="Compact"/>
            </w:pPr>
            <w:r>
              <w:t xml:space="preserve">До 15% годной продукции списывается (МВС Engineering)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Премиум-вино / виски / часы / ювелирка</w:t>
            </w:r>
          </w:p>
        </w:tc>
        <w:tc>
          <w:tcPr/>
          <w:p>
            <w:pPr>
              <w:pStyle w:val="Compact"/>
            </w:pPr>
            <w:r>
              <w:t xml:space="preserve">Окисление, потеря товарного вида</w:t>
            </w:r>
          </w:p>
        </w:tc>
        <w:tc>
          <w:tcPr/>
          <w:p>
            <w:pPr>
              <w:pStyle w:val="Compact"/>
            </w:pPr>
            <w:r>
              <w:t xml:space="preserve">Премиум-сегмент, маржа 70–90%</w:t>
            </w:r>
          </w:p>
        </w:tc>
      </w:tr>
    </w:tbl>
    <w:p>
      <w:pPr>
        <w:pStyle w:val="BodyText"/>
      </w:pPr>
      <w:r>
        <w:rPr>
          <w:b/>
          <w:bCs/>
        </w:rPr>
        <w:t xml:space="preserve">Существующие решения работают на 5–10 лет, не на 50.</w:t>
      </w:r>
      <w:r>
        <w:t xml:space="preserve"> </w:t>
      </w:r>
      <w:r>
        <w:t xml:space="preserve">- CarCapsule, Carcoon — гонят воздух с фильтром, нужно электричество 24/7, 21% O₂ внутри.</w:t>
      </w:r>
      <w:r>
        <w:t xml:space="preserve"> </w:t>
      </w:r>
      <w:r>
        <w:t xml:space="preserve">- Cortec/Zerust VCI — летучие ингибиторы, 5–10 лет, не работают для электроники и фармы.</w:t>
      </w:r>
      <w:r>
        <w:t xml:space="preserve"> </w:t>
      </w:r>
      <w:r>
        <w:t xml:space="preserve">- MIL-STD-2073 — для агрегатов, не для целых изделий, без мониторинга.</w:t>
      </w:r>
      <w:r>
        <w:t xml:space="preserve"> </w:t>
      </w:r>
      <w:r>
        <w:t xml:space="preserve">- Анокс-витрины музеев — штучное производство $50k+, нет стандартизации.</w:t>
      </w:r>
    </w:p>
    <w:p>
      <w:r>
        <w:pict>
          <v:rect style="width:0;height:1.5pt" o:hralign="center" o:hrstd="t" o:hr="t"/>
        </w:pict>
      </w:r>
    </w:p>
    <w:bookmarkEnd w:id="11"/>
    <w:bookmarkStart w:id="12" w:name="слайд-3-solution"/>
    <w:p>
      <w:pPr>
        <w:pStyle w:val="Heading2"/>
      </w:pPr>
      <w:r>
        <w:t xml:space="preserve">Слайд 3 — Solution</w:t>
      </w:r>
    </w:p>
    <w:p>
      <w:pPr>
        <w:pStyle w:val="BlockText"/>
      </w:pPr>
      <w:r>
        <w:rPr>
          <w:b/>
          <w:bCs/>
        </w:rPr>
        <w:t xml:space="preserve">Гибкая герметичная капсула + инертный газ + кислород-абсорбер + оптический сенсор через окно. 50 лет хранения.</w:t>
      </w:r>
    </w:p>
    <w:p>
      <w:pPr>
        <w:pStyle w:val="FirstParagraph"/>
      </w:pPr>
      <w:r>
        <w:t xml:space="preserve">Архитектура: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Многослойный ламинат PET / Al-foil / LLDPE         │</w:t>
      </w:r>
      <w:r>
        <w:br/>
      </w:r>
      <w:r>
        <w:rPr>
          <w:rStyle w:val="VerbatimChar"/>
        </w:rPr>
        <w:t xml:space="preserve">│ OTR ≤ 0.05 cc/m²/day · ГОСТ 9.014 ВУ-5      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  [Инертный газ N₂ или Ar, O₂ ≤ 0.5%]              │</w:t>
      </w:r>
      <w:r>
        <w:br/>
      </w:r>
      <w:r>
        <w:rPr>
          <w:rStyle w:val="VerbatimChar"/>
        </w:rPr>
        <w:t xml:space="preserve">│   [6 саше Mitsubishi Ageless Z-2000]        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  ┌─────────┐                                      │</w:t>
      </w:r>
      <w:r>
        <w:br/>
      </w:r>
      <w:r>
        <w:rPr>
          <w:rStyle w:val="VerbatimChar"/>
        </w:rPr>
        <w:t xml:space="preserve">│   │  Spot   │ ← пассивный оптический патч PreSens  │</w:t>
      </w:r>
      <w:r>
        <w:br/>
      </w:r>
      <w:r>
        <w:rPr>
          <w:rStyle w:val="VerbatimChar"/>
        </w:rPr>
        <w:t xml:space="preserve">│   │  PSt6   │   срок жизни 5–7 лет, без батареи    │</w:t>
      </w:r>
      <w:r>
        <w:br/>
      </w:r>
      <w:r>
        <w:rPr>
          <w:rStyle w:val="VerbatimChar"/>
        </w:rPr>
        <w:t xml:space="preserve">│   └─────────┘                                      │</w:t>
      </w:r>
      <w:r>
        <w:br/>
      </w:r>
      <w:r>
        <w:rPr>
          <w:rStyle w:val="VerbatimChar"/>
        </w:rPr>
        <w:t xml:space="preserve">│        ↑                                           │</w:t>
      </w:r>
      <w:r>
        <w:br/>
      </w:r>
      <w:r>
        <w:rPr>
          <w:rStyle w:val="VerbatimChar"/>
        </w:rPr>
        <w:t xml:space="preserve">│   [Прозрачное окно 30×30 мм без фольги]            │</w:t>
      </w:r>
      <w:r>
        <w:br/>
      </w:r>
      <w:r>
        <w:rPr>
          <w:rStyle w:val="VerbatimChar"/>
        </w:rPr>
        <w:t xml:space="preserve">│        ↑                                           │</w:t>
      </w:r>
      <w:r>
        <w:br/>
      </w:r>
      <w:r>
        <w:rPr>
          <w:rStyle w:val="VerbatimChar"/>
        </w:rPr>
        <w:t xml:space="preserve">└────────│───────────────────────────────────────────┘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│ оптическое считывание снаружи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[Ридер OXY-1 ST mini] · ручной обход / стационарный</w:t>
      </w:r>
    </w:p>
    <w:p>
      <w:pPr>
        <w:pStyle w:val="FirstParagraph"/>
      </w:pPr>
      <w:r>
        <w:rPr>
          <w:b/>
          <w:bCs/>
        </w:rPr>
        <w:t xml:space="preserve">Что делает уникальным:</w:t>
      </w:r>
      <w:r>
        <w:t xml:space="preserve"> </w:t>
      </w:r>
      <w:r>
        <w:t xml:space="preserve">1. Полимерно-фольговая оболочка с локальным</w:t>
      </w:r>
      <w:r>
        <w:t xml:space="preserve"> </w:t>
      </w:r>
      <w:r>
        <w:rPr>
          <w:b/>
          <w:bCs/>
        </w:rPr>
        <w:t xml:space="preserve">прозрачным окном</w:t>
      </w:r>
      <w:r>
        <w:t xml:space="preserve"> </w:t>
      </w:r>
      <w:r>
        <w:t xml:space="preserve">для оптического считывания.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Пассивный</w:t>
      </w:r>
      <w:r>
        <w:t xml:space="preserve"> </w:t>
      </w:r>
      <w:r>
        <w:t xml:space="preserve">оптический сенсор внутри (без батареи, без радио).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Алгоритм самодиагностики</w:t>
      </w:r>
      <w:r>
        <w:t xml:space="preserve"> </w:t>
      </w:r>
      <w:r>
        <w:t xml:space="preserve">через корреляцию давления и O₂ — раннее обнаружение утечки.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Порт безразрывной дозаправки</w:t>
      </w:r>
      <w:r>
        <w:t xml:space="preserve"> </w:t>
      </w:r>
      <w:r>
        <w:t xml:space="preserve">газом без вскрытия капсулы.</w:t>
      </w:r>
    </w:p>
    <w:p>
      <w:pPr>
        <w:pStyle w:val="BodyText"/>
      </w:pPr>
      <w:r>
        <w:rPr>
          <w:b/>
          <w:bCs/>
        </w:rPr>
        <w:t xml:space="preserve">Эта комбинация запатентована (заявка ЕАПО + PCT в подготовке).</w:t>
      </w:r>
    </w:p>
    <w:p>
      <w:r>
        <w:pict>
          <v:rect style="width:0;height:1.5pt" o:hralign="center" o:hrstd="t" o:hr="t"/>
        </w:pict>
      </w:r>
    </w:p>
    <w:bookmarkEnd w:id="12"/>
    <w:bookmarkStart w:id="13" w:name="слайд-4-why-now"/>
    <w:p>
      <w:pPr>
        <w:pStyle w:val="Heading2"/>
      </w:pPr>
      <w:r>
        <w:t xml:space="preserve">Слайд 4 — Why Now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Тренд</w:t>
            </w:r>
          </w:p>
        </w:tc>
        <w:tc>
          <w:tcPr/>
          <w:p>
            <w:pPr>
              <w:pStyle w:val="Compact"/>
            </w:pPr>
            <w:r>
              <w:t xml:space="preserve">Эффект на проект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Рост рынка коллекционных активов</w:t>
            </w:r>
          </w:p>
        </w:tc>
        <w:tc>
          <w:tcPr/>
          <w:p>
            <w:pPr>
              <w:pStyle w:val="Compact"/>
            </w:pPr>
            <w:r>
              <w:t xml:space="preserve">Premium auto $20B+, watches $20B+, art $65B+; владельцы платят за защиту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ESG / circular economy</w:t>
            </w:r>
          </w:p>
        </w:tc>
        <w:tc>
          <w:tcPr/>
          <w:p>
            <w:pPr>
              <w:pStyle w:val="Compact"/>
            </w:pPr>
            <w:r>
              <w:t xml:space="preserve">Продление срока службы товаров → ESG-история; ЕБРР, IFC, MENA-фонды дают капитал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Дефицит стратегических резервов после 2022</w:t>
            </w:r>
          </w:p>
        </w:tc>
        <w:tc>
          <w:tcPr/>
          <w:p>
            <w:pPr>
              <w:pStyle w:val="Compact"/>
            </w:pPr>
            <w:r>
              <w:t xml:space="preserve">Росрезерв и Минздрав модернизируют упаковку; тендеры открыты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Удешевление IoT-сенсоров</w:t>
            </w:r>
          </w:p>
        </w:tc>
        <w:tc>
          <w:tcPr/>
          <w:p>
            <w:pPr>
              <w:pStyle w:val="Compact"/>
            </w:pPr>
            <w:r>
              <w:t xml:space="preserve">PreSens spot подешевел до €30; ридер €2.5k амортизируется на сотнях капсул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Санкции на DoD-allowlist материалы</w:t>
            </w:r>
          </w:p>
        </w:tc>
        <w:tc>
          <w:tcPr/>
          <w:p>
            <w:pPr>
              <w:pStyle w:val="Compact"/>
            </w:pPr>
            <w:r>
              <w:t xml:space="preserve">Российский рынок MIL-PRF-131K-эквивалентов открыт — DEF STAN / ГОСТ 9.014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Богатые азиатские/арабские частные коллекционеры</w:t>
            </w:r>
          </w:p>
        </w:tc>
        <w:tc>
          <w:tcPr/>
          <w:p>
            <w:pPr>
              <w:pStyle w:val="Compact"/>
            </w:pPr>
            <w:r>
              <w:t xml:space="preserve">Прямые каналы Аслана в нефтегазе и Ближнем Востоке</w:t>
            </w:r>
          </w:p>
        </w:tc>
      </w:tr>
    </w:tbl>
    <w:p>
      <w:pPr>
        <w:pStyle w:val="BodyText"/>
      </w:pPr>
      <w:r>
        <w:rPr>
          <w:b/>
          <w:bCs/>
        </w:rPr>
        <w:t xml:space="preserve">Окно возможностей: 18–24 месяца до появления первых конкурентов.</w:t>
      </w:r>
    </w:p>
    <w:p>
      <w:r>
        <w:pict>
          <v:rect style="width:0;height:1.5pt" o:hralign="center" o:hrstd="t" o:hr="t"/>
        </w:pict>
      </w:r>
    </w:p>
    <w:bookmarkEnd w:id="13"/>
    <w:bookmarkStart w:id="14" w:name="слайд-5-market-size"/>
    <w:p>
      <w:pPr>
        <w:pStyle w:val="Heading2"/>
      </w:pPr>
      <w:r>
        <w:t xml:space="preserve">Слайд 5 — Market Size</w:t>
      </w:r>
    </w:p>
    <w:p>
      <w:pPr>
        <w:pStyle w:val="SourceCode"/>
      </w:pPr>
      <w:r>
        <w:rPr>
          <w:rStyle w:val="VerbatimChar"/>
        </w:rPr>
        <w:t xml:space="preserve">TAM (Total Addressable Market) — глобальный рынок защитной упаковки</w:t>
      </w:r>
      <w:r>
        <w:br/>
      </w:r>
      <w:r>
        <w:rPr>
          <w:rStyle w:val="VerbatimChar"/>
        </w:rPr>
        <w:t xml:space="preserve">премиум-сегмента и стратегических резервов</w:t>
      </w:r>
      <w:r>
        <w:br/>
      </w:r>
      <w:r>
        <w:br/>
      </w:r>
      <w:r>
        <w:rPr>
          <w:rStyle w:val="VerbatimChar"/>
        </w:rPr>
        <w:t xml:space="preserve">  $30 B (food packaging premium + pharma + military + collector</w:t>
      </w:r>
      <w:r>
        <w:br/>
      </w:r>
      <w:r>
        <w:rPr>
          <w:rStyle w:val="VerbatimChar"/>
        </w:rPr>
        <w:t xml:space="preserve">         vehicles + museum conservation + private vault storage)</w:t>
      </w:r>
      <w:r>
        <w:br/>
      </w:r>
      <w:r>
        <w:br/>
      </w:r>
      <w:r>
        <w:rPr>
          <w:rStyle w:val="VerbatimChar"/>
        </w:rPr>
        <w:t xml:space="preserve">  ↓</w:t>
      </w:r>
      <w:r>
        <w:br/>
      </w:r>
      <w:r>
        <w:br/>
      </w:r>
      <w:r>
        <w:rPr>
          <w:rStyle w:val="VerbatimChar"/>
        </w:rPr>
        <w:t xml:space="preserve">SAM (Serviceable Addressable Market) — премиум-ниши, где</w:t>
      </w:r>
      <w:r>
        <w:br/>
      </w:r>
      <w:r>
        <w:rPr>
          <w:rStyle w:val="VerbatimChar"/>
        </w:rPr>
        <w:t xml:space="preserve">аргон / долговременное (10+ лет) хранение оправдано</w:t>
      </w:r>
      <w:r>
        <w:br/>
      </w:r>
      <w:r>
        <w:br/>
      </w:r>
      <w:r>
        <w:rPr>
          <w:rStyle w:val="VerbatimChar"/>
        </w:rPr>
        <w:t xml:space="preserve">  $3–5 B</w:t>
      </w:r>
      <w:r>
        <w:br/>
      </w:r>
      <w:r>
        <w:rPr>
          <w:rStyle w:val="VerbatimChar"/>
        </w:rPr>
        <w:t xml:space="preserve">  (collector vehicles &amp; motorcycles, premium watches &amp; jewelry,</w:t>
      </w:r>
      <w:r>
        <w:br/>
      </w:r>
      <w:r>
        <w:rPr>
          <w:rStyle w:val="VerbatimChar"/>
        </w:rPr>
        <w:t xml:space="preserve">   private gold vaults, museum standard cases, strategic reserves)</w:t>
      </w:r>
      <w:r>
        <w:br/>
      </w:r>
      <w:r>
        <w:br/>
      </w:r>
      <w:r>
        <w:rPr>
          <w:rStyle w:val="VerbatimChar"/>
        </w:rPr>
        <w:t xml:space="preserve">  ↓</w:t>
      </w:r>
      <w:r>
        <w:br/>
      </w:r>
      <w:r>
        <w:br/>
      </w:r>
      <w:r>
        <w:rPr>
          <w:rStyle w:val="VerbatimChar"/>
        </w:rPr>
        <w:t xml:space="preserve">SOM (Serviceable Obtainable Market) — что можем взять за 5 лет</w:t>
      </w:r>
      <w:r>
        <w:br/>
      </w:r>
      <w:r>
        <w:br/>
      </w:r>
      <w:r>
        <w:rPr>
          <w:rStyle w:val="VerbatimChar"/>
        </w:rPr>
        <w:t xml:space="preserve">  $50–80 M</w:t>
      </w:r>
      <w:r>
        <w:br/>
      </w:r>
      <w:r>
        <w:rPr>
          <w:rStyle w:val="VerbatimChar"/>
        </w:rPr>
        <w:t xml:space="preserve">  (РФ + Казахстан + СНГ + Ближний Восток + китайский премиум-рынок;</w:t>
      </w:r>
      <w:r>
        <w:br/>
      </w:r>
      <w:r>
        <w:rPr>
          <w:rStyle w:val="VerbatimChar"/>
        </w:rPr>
        <w:t xml:space="preserve">   1% коллекционных авто РФ + 0.5% Росрезерв + 5 музеев + 100 коллекционеров)</w:t>
      </w:r>
    </w:p>
    <w:p>
      <w:pPr>
        <w:pStyle w:val="FirstParagraph"/>
      </w:pPr>
      <w:r>
        <w:t xml:space="preserve">Юнит-цены подтверждены отчётами: Hagerty (collector cars), MarketsAndMarkets (food packaging $421B → $548B), отраслевые отчёты pharma packaging.</w:t>
      </w:r>
    </w:p>
    <w:p>
      <w:r>
        <w:pict>
          <v:rect style="width:0;height:1.5pt" o:hralign="center" o:hrstd="t" o:hr="t"/>
        </w:pict>
      </w:r>
    </w:p>
    <w:bookmarkEnd w:id="14"/>
    <w:bookmarkStart w:id="15" w:name="слайд-6-product"/>
    <w:p>
      <w:pPr>
        <w:pStyle w:val="Heading2"/>
      </w:pPr>
      <w:r>
        <w:t xml:space="preserve">Слайд 6 — Product</w:t>
      </w:r>
    </w:p>
    <w:p>
      <w:pPr>
        <w:pStyle w:val="FirstParagraph"/>
      </w:pPr>
      <w:r>
        <w:rPr>
          <w:b/>
          <w:bCs/>
        </w:rPr>
        <w:t xml:space="preserve">Линейка из 5 моделей: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</w:pPr>
            <w:r>
              <w:t xml:space="preserve">Целевой клиент</w:t>
            </w:r>
          </w:p>
        </w:tc>
        <w:tc>
          <w:tcPr/>
          <w:p>
            <w:pPr>
              <w:pStyle w:val="Compact"/>
            </w:pPr>
            <w:r>
              <w:t xml:space="preserve">Цена розница</w:t>
            </w:r>
          </w:p>
        </w:tc>
        <w:tc>
          <w:tcPr/>
          <w:p>
            <w:pPr>
              <w:pStyle w:val="Compact"/>
            </w:pPr>
            <w:r>
              <w:t xml:space="preserve">Себестоимость</w:t>
            </w:r>
          </w:p>
        </w:tc>
        <w:tc>
          <w:tcPr/>
          <w:p>
            <w:pPr>
              <w:pStyle w:val="Compact"/>
            </w:pPr>
            <w:r>
              <w:t xml:space="preserve">Маржа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INERTUM Auto</w:t>
            </w:r>
            <w:r>
              <w:t xml:space="preserve"> </w:t>
            </w:r>
            <w:r>
              <w:t xml:space="preserve">(5 × 2 × 1.5 м, азот + Ageless + spot)</w:t>
            </w:r>
          </w:p>
        </w:tc>
        <w:tc>
          <w:tcPr/>
          <w:p>
            <w:pPr>
              <w:pStyle w:val="Compact"/>
            </w:pPr>
            <w:r>
              <w:t xml:space="preserve">Коллекционеры авто, страховщики</w:t>
            </w:r>
          </w:p>
        </w:tc>
        <w:tc>
          <w:tcPr/>
          <w:p>
            <w:pPr>
              <w:pStyle w:val="Compact"/>
            </w:pPr>
            <w:r>
              <w:t xml:space="preserve">$5 000 – 15 000</w:t>
            </w:r>
          </w:p>
        </w:tc>
        <w:tc>
          <w:tcPr/>
          <w:p>
            <w:pPr>
              <w:pStyle w:val="Compact"/>
            </w:pPr>
            <w:r>
              <w:t xml:space="preserve">~$1 300</w:t>
            </w:r>
          </w:p>
        </w:tc>
        <w:tc>
          <w:tcPr/>
          <w:p>
            <w:pPr>
              <w:pStyle w:val="Compact"/>
            </w:pPr>
            <w:r>
              <w:t xml:space="preserve">75–90%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INERTUM Moto</w:t>
            </w:r>
            <w:r>
              <w:t xml:space="preserve"> </w:t>
            </w:r>
            <w:r>
              <w:t xml:space="preserve">(2.5 × 1 × 1.5 м, N₂)</w:t>
            </w:r>
          </w:p>
        </w:tc>
        <w:tc>
          <w:tcPr/>
          <w:p>
            <w:pPr>
              <w:pStyle w:val="Compact"/>
            </w:pPr>
            <w:r>
              <w:t xml:space="preserve">Коллекционеры мото, оружия</w:t>
            </w:r>
          </w:p>
        </w:tc>
        <w:tc>
          <w:tcPr/>
          <w:p>
            <w:pPr>
              <w:pStyle w:val="Compact"/>
            </w:pPr>
            <w:r>
              <w:t xml:space="preserve">$1 500 – 3 000</w:t>
            </w:r>
          </w:p>
        </w:tc>
        <w:tc>
          <w:tcPr/>
          <w:p>
            <w:pPr>
              <w:pStyle w:val="Compact"/>
            </w:pPr>
            <w:r>
              <w:t xml:space="preserve">~$400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INERTUM Vault</w:t>
            </w:r>
            <w:r>
              <w:t xml:space="preserve"> </w:t>
            </w:r>
            <w:r>
              <w:t xml:space="preserve">(жёсткая капсула под слитки/часы, аргон)</w:t>
            </w:r>
          </w:p>
        </w:tc>
        <w:tc>
          <w:tcPr/>
          <w:p>
            <w:pPr>
              <w:pStyle w:val="Compact"/>
            </w:pPr>
            <w:r>
              <w:t xml:space="preserve">Частные хранилища, банки</w:t>
            </w:r>
          </w:p>
        </w:tc>
        <w:tc>
          <w:tcPr/>
          <w:p>
            <w:pPr>
              <w:pStyle w:val="Compact"/>
            </w:pPr>
            <w:r>
              <w:t xml:space="preserve">$300 – 1 200</w:t>
            </w:r>
          </w:p>
        </w:tc>
        <w:tc>
          <w:tcPr/>
          <w:p>
            <w:pPr>
              <w:pStyle w:val="Compact"/>
            </w:pPr>
            <w:r>
              <w:t xml:space="preserve">~$80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INERTUM Archive</w:t>
            </w:r>
            <w:r>
              <w:t xml:space="preserve"> </w:t>
            </w:r>
            <w:r>
              <w:t xml:space="preserve">(под документы/иконы/монеты, аргон + RP-System)</w:t>
            </w:r>
          </w:p>
        </w:tc>
        <w:tc>
          <w:tcPr/>
          <w:p>
            <w:pPr>
              <w:pStyle w:val="Compact"/>
            </w:pPr>
            <w:r>
              <w:t xml:space="preserve">Музеи, частные коллекции</w:t>
            </w:r>
          </w:p>
        </w:tc>
        <w:tc>
          <w:tcPr/>
          <w:p>
            <w:pPr>
              <w:pStyle w:val="Compact"/>
            </w:pPr>
            <w:r>
              <w:t xml:space="preserve">$200 – 800</w:t>
            </w:r>
          </w:p>
        </w:tc>
        <w:tc>
          <w:tcPr/>
          <w:p>
            <w:pPr>
              <w:pStyle w:val="Compact"/>
            </w:pPr>
            <w:r>
              <w:t xml:space="preserve">~$50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INERTUM Strategic</w:t>
            </w:r>
            <w:r>
              <w:t xml:space="preserve"> </w:t>
            </w:r>
            <w:r>
              <w:t xml:space="preserve">(medical-grade фольга для лекарств)</w:t>
            </w:r>
          </w:p>
        </w:tc>
        <w:tc>
          <w:tcPr/>
          <w:p>
            <w:pPr>
              <w:pStyle w:val="Compact"/>
            </w:pPr>
            <w:r>
              <w:t xml:space="preserve">Росрезерв, Минздрав, Минобороны</w:t>
            </w:r>
          </w:p>
        </w:tc>
        <w:tc>
          <w:tcPr/>
          <w:p>
            <w:pPr>
              <w:pStyle w:val="Compact"/>
            </w:pPr>
            <w:r>
              <w:t xml:space="preserve">$5 – 50 / шт.</w:t>
            </w:r>
          </w:p>
        </w:tc>
        <w:tc>
          <w:tcPr/>
          <w:p>
            <w:pPr>
              <w:pStyle w:val="Compact"/>
            </w:pPr>
            <w:r>
              <w:t xml:space="preserve">~$1</w:t>
            </w:r>
          </w:p>
        </w:tc>
        <w:tc>
          <w:tcPr/>
          <w:p>
            <w:pPr>
              <w:pStyle w:val="Compact"/>
            </w:pPr>
            <w:r>
              <w:t xml:space="preserve">75–80%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Прототип №1</w:t>
      </w:r>
      <w:r>
        <w:t xml:space="preserve"> </w:t>
      </w:r>
      <w:r>
        <w:t xml:space="preserve">— модель INERTUM Moto, ₽250 тыс. в производстве, 6 мес. испытаний.</w:t>
      </w:r>
    </w:p>
    <w:p>
      <w:r>
        <w:pict>
          <v:rect style="width:0;height:1.5pt" o:hralign="center" o:hrstd="t" o:hr="t"/>
        </w:pict>
      </w:r>
    </w:p>
    <w:bookmarkEnd w:id="15"/>
    <w:bookmarkStart w:id="16" w:name="слайд-7-traction-roadmap"/>
    <w:p>
      <w:pPr>
        <w:pStyle w:val="Heading2"/>
      </w:pPr>
      <w:r>
        <w:t xml:space="preserve">Слайд 7 — Traction &amp; Roadmap</w:t>
      </w:r>
    </w:p>
    <w:p>
      <w:pPr>
        <w:pStyle w:val="FirstParagraph"/>
      </w:pPr>
      <w:r>
        <w:rPr>
          <w:b/>
          <w:bCs/>
        </w:rPr>
        <w:t xml:space="preserve">Что сделано (2026-05):</w:t>
      </w:r>
      <w:r>
        <w:t xml:space="preserve"> </w:t>
      </w:r>
      <w:r>
        <w:t xml:space="preserve">- ✅ Углублённый патентный поиск по 21 ближайшему аналогу —</w:t>
      </w:r>
      <w:r>
        <w:t xml:space="preserve"> </w:t>
      </w:r>
      <w:r>
        <w:rPr>
          <w:b/>
          <w:bCs/>
        </w:rPr>
        <w:t xml:space="preserve">прямых блокирующих патентов нет</w:t>
      </w:r>
      <w:r>
        <w:t xml:space="preserve">.</w:t>
      </w:r>
      <w:r>
        <w:t xml:space="preserve"> </w:t>
      </w:r>
      <w:r>
        <w:t xml:space="preserve">- ✅ Драфт патентной заявки v2.1 для ЕАПО (8 стран) с возможностью PCT-конвертации.</w:t>
      </w:r>
      <w:r>
        <w:t xml:space="preserve"> </w:t>
      </w:r>
      <w:r>
        <w:t xml:space="preserve">- ✅ Техническая справка на реальных источниках (MIL-STD, ГОСТ, Mitsubishi, Getty).</w:t>
      </w:r>
      <w:r>
        <w:t xml:space="preserve"> </w:t>
      </w:r>
      <w:r>
        <w:t xml:space="preserve">- ✅ ТЗ на прототип №1 + полный BOM с поставщиками.</w:t>
      </w:r>
      <w:r>
        <w:t xml:space="preserve"> </w:t>
      </w:r>
      <w:r>
        <w:t xml:space="preserve">- ✅ Контакты топ-3 поставщиков ламината (NomexRus, Pack-Systems) и датчиков (PreSens, PyroScience).</w:t>
      </w:r>
    </w:p>
    <w:p>
      <w:pPr>
        <w:pStyle w:val="BodyText"/>
      </w:pPr>
      <w:r>
        <w:rPr>
          <w:b/>
          <w:bCs/>
        </w:rPr>
        <w:t xml:space="preserve">6 месяцев впереди:</w:t>
      </w:r>
      <w:r>
        <w:t xml:space="preserve"> </w:t>
      </w:r>
      <w:r>
        <w:t xml:space="preserve">- 🛠 Подача провизорной патентной заявки в Роспатент.</w:t>
      </w:r>
      <w:r>
        <w:t xml:space="preserve"> </w:t>
      </w:r>
      <w:r>
        <w:t xml:space="preserve">- 🛠 Сборка прототипа №1 (мотоциклетная капсула).</w:t>
      </w:r>
      <w:r>
        <w:t xml:space="preserve"> </w:t>
      </w:r>
      <w:r>
        <w:t xml:space="preserve">- 🛠 6-месячные испытания с непрерывным замером O₂.</w:t>
      </w:r>
      <w:r>
        <w:t xml:space="preserve"> </w:t>
      </w:r>
      <w:r>
        <w:t xml:space="preserve">- 🛠 Прототип №2 (авто-капсула).</w:t>
      </w:r>
      <w:r>
        <w:t xml:space="preserve"> </w:t>
      </w:r>
      <w:r>
        <w:t xml:space="preserve">- 🛠 Первые 3–5 пилотных контрактов (коллекционеры РФ + Казахстан).</w:t>
      </w:r>
    </w:p>
    <w:p>
      <w:pPr>
        <w:pStyle w:val="BodyText"/>
      </w:pPr>
      <w:r>
        <w:rPr>
          <w:b/>
          <w:bCs/>
        </w:rPr>
        <w:t xml:space="preserve">12–24 месяца:</w:t>
      </w:r>
      <w:r>
        <w:t xml:space="preserve"> </w:t>
      </w:r>
      <w:r>
        <w:t xml:space="preserve">- 🛠 PCT-расширение на США, ЕС, Китай, Японию, ОАЭ.</w:t>
      </w:r>
      <w:r>
        <w:t xml:space="preserve"> </w:t>
      </w:r>
      <w:r>
        <w:t xml:space="preserve">- 🛠 Сертификация ГОСТ Р + допуск к гособоронзаказу.</w:t>
      </w:r>
      <w:r>
        <w:t xml:space="preserve"> </w:t>
      </w:r>
      <w:r>
        <w:t xml:space="preserve">- 🛠 Серийное производство 500 капсул/год.</w:t>
      </w:r>
      <w:r>
        <w:t xml:space="preserve"> </w:t>
      </w:r>
      <w:r>
        <w:t xml:space="preserve">- 🛠 Тендеры Росрезерв / Минздрав / Минобороны.</w:t>
      </w:r>
    </w:p>
    <w:p>
      <w:r>
        <w:pict>
          <v:rect style="width:0;height:1.5pt" o:hralign="center" o:hrstd="t" o:hr="t"/>
        </w:pict>
      </w:r>
    </w:p>
    <w:bookmarkEnd w:id="16"/>
    <w:bookmarkStart w:id="17" w:name="слайд-8-business-model"/>
    <w:p>
      <w:pPr>
        <w:pStyle w:val="Heading2"/>
      </w:pPr>
      <w:r>
        <w:t xml:space="preserve">Слайд 8 — Business Model</w:t>
      </w:r>
    </w:p>
    <w:p>
      <w:pPr>
        <w:pStyle w:val="FirstParagraph"/>
      </w:pPr>
      <w:r>
        <w:rPr>
          <w:b/>
          <w:bCs/>
        </w:rPr>
        <w:t xml:space="preserve">Три потока выручки: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B2C прямые продажи</w:t>
      </w:r>
      <w:r>
        <w:t xml:space="preserve"> </w:t>
      </w:r>
      <w:r>
        <w:t xml:space="preserve">премиум-капсул (Auto, Moto, Vault, Archive) — высокая маржа, прямые продажи через сайт + VIP-каналы.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B2B контракты</w:t>
      </w:r>
      <w:r>
        <w:t xml:space="preserve"> </w:t>
      </w:r>
      <w:r>
        <w:t xml:space="preserve">на стратегические резервы (Росрезерв, Минздрав, Минобороны, частные банки) — тендеры на партии 1 000–10 000 штук.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Лицензирование патента</w:t>
      </w:r>
      <w:r>
        <w:t xml:space="preserve"> </w:t>
      </w:r>
      <w:r>
        <w:t xml:space="preserve">— после получения патента и одного-двух референс-контрактов: продажа лицензий зарубежным производителям упаковки (роялти 3–5%).</w:t>
      </w:r>
    </w:p>
    <w:p>
      <w:pPr>
        <w:pStyle w:val="FirstParagraph"/>
      </w:pPr>
      <w:r>
        <w:rPr>
          <w:b/>
          <w:bCs/>
        </w:rPr>
        <w:t xml:space="preserve">Дополнительно:</w:t>
      </w:r>
      <w:r>
        <w:t xml:space="preserve"> </w:t>
      </w:r>
      <w:r>
        <w:t xml:space="preserve">- Услуга «под ключ» — выезд бригады, упаковка изделия на месте, гарантия 50 лет (премиум-наценка +30%).</w:t>
      </w:r>
      <w:r>
        <w:t xml:space="preserve"> </w:t>
      </w:r>
      <w:r>
        <w:t xml:space="preserve">- Сменные кислород-абсорберы по подписке (recurring revenue).</w:t>
      </w:r>
    </w:p>
    <w:p>
      <w:r>
        <w:pict>
          <v:rect style="width:0;height:1.5pt" o:hralign="center" o:hrstd="t" o:hr="t"/>
        </w:pict>
      </w:r>
    </w:p>
    <w:bookmarkEnd w:id="17"/>
    <w:bookmarkStart w:id="18" w:name="слайд-9-competition"/>
    <w:p>
      <w:pPr>
        <w:pStyle w:val="Heading2"/>
      </w:pPr>
      <w:r>
        <w:t xml:space="preserve">Слайд 9 — Competition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Конкурент</w:t>
            </w:r>
          </w:p>
        </w:tc>
        <w:tc>
          <w:tcPr/>
          <w:p>
            <w:pPr>
              <w:pStyle w:val="Compact"/>
            </w:pPr>
            <w:r>
              <w:t xml:space="preserve">Что делают</w:t>
            </w:r>
          </w:p>
        </w:tc>
        <w:tc>
          <w:tcPr/>
          <w:p>
            <w:pPr>
              <w:pStyle w:val="Compact"/>
            </w:pPr>
            <w:r>
              <w:t xml:space="preserve">Чего не делают</w:t>
            </w:r>
          </w:p>
        </w:tc>
        <w:tc>
          <w:tcPr/>
          <w:p>
            <w:pPr>
              <w:pStyle w:val="Compact"/>
            </w:pPr>
            <w:r>
              <w:t xml:space="preserve">Угроза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CarCapsule, Carcoon</w:t>
            </w:r>
          </w:p>
        </w:tc>
        <w:tc>
          <w:tcPr/>
          <w:p>
            <w:pPr>
              <w:pStyle w:val="Compact"/>
            </w:pPr>
            <w:r>
              <w:t xml:space="preserve">Надувные капсулы для авто на воздухе</w:t>
            </w:r>
          </w:p>
        </w:tc>
        <w:tc>
          <w:tcPr/>
          <w:p>
            <w:pPr>
              <w:pStyle w:val="Compact"/>
            </w:pPr>
            <w:r>
              <w:t xml:space="preserve">Нет инертного газа, нет долгого срока, нет мониторинга</w:t>
            </w:r>
          </w:p>
        </w:tc>
        <w:tc>
          <w:tcPr/>
          <w:p>
            <w:pPr>
              <w:pStyle w:val="Compact"/>
            </w:pPr>
            <w:r>
              <w:t xml:space="preserve">Низкая (другой сегмент)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Cortec, Zerust</w:t>
            </w:r>
          </w:p>
        </w:tc>
        <w:tc>
          <w:tcPr/>
          <w:p>
            <w:pPr>
              <w:pStyle w:val="Compact"/>
            </w:pPr>
            <w:r>
              <w:t xml:space="preserve">VCI-плёнки и пакеты</w:t>
            </w:r>
          </w:p>
        </w:tc>
        <w:tc>
          <w:tcPr/>
          <w:p>
            <w:pPr>
              <w:pStyle w:val="Compact"/>
            </w:pPr>
            <w:r>
              <w:t xml:space="preserve">Нет инертного газа, нет мониторинга, ограниченный срок</w:t>
            </w:r>
          </w:p>
        </w:tc>
        <w:tc>
          <w:tcPr/>
          <w:p>
            <w:pPr>
              <w:pStyle w:val="Compact"/>
            </w:pPr>
            <w:r>
              <w:t xml:space="preserve">Средняя (могут добавить газ)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MIL-STD-2073 OEM</w:t>
            </w:r>
            <w:r>
              <w:t xml:space="preserve"> </w:t>
            </w:r>
            <w:r>
              <w:t xml:space="preserve">(Sorbent Systems, IMPAK, 3D Barrier Bags)</w:t>
            </w:r>
          </w:p>
        </w:tc>
        <w:tc>
          <w:tcPr/>
          <w:p>
            <w:pPr>
              <w:pStyle w:val="Compact"/>
            </w:pPr>
            <w:r>
              <w:t xml:space="preserve">Mil-spec мешки для агрегатов</w:t>
            </w:r>
          </w:p>
        </w:tc>
        <w:tc>
          <w:tcPr/>
          <w:p>
            <w:pPr>
              <w:pStyle w:val="Compact"/>
            </w:pPr>
            <w:r>
              <w:t xml:space="preserve">Нет для целых изделий, нет мониторинга, санкции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Mitsubishi Gas Chemical (Ageless / Pharmakeep)</w:t>
            </w:r>
          </w:p>
        </w:tc>
        <w:tc>
          <w:tcPr/>
          <w:p>
            <w:pPr>
              <w:pStyle w:val="Compact"/>
            </w:pPr>
            <w:r>
              <w:t xml:space="preserve">Кислород-абсорберы</w:t>
            </w:r>
          </w:p>
        </w:tc>
        <w:tc>
          <w:tcPr/>
          <w:p>
            <w:pPr>
              <w:pStyle w:val="Compact"/>
            </w:pPr>
            <w:r>
              <w:t xml:space="preserve">Только сашé, не системы</w:t>
            </w:r>
          </w:p>
        </w:tc>
        <w:tc>
          <w:tcPr/>
          <w:p>
            <w:pPr>
              <w:pStyle w:val="Compact"/>
            </w:pPr>
            <w:r>
              <w:t xml:space="preserve">Партнёр, не конкурент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PreSens, PyroScience</w:t>
            </w:r>
          </w:p>
        </w:tc>
        <w:tc>
          <w:tcPr/>
          <w:p>
            <w:pPr>
              <w:pStyle w:val="Compact"/>
            </w:pPr>
            <w:r>
              <w:t xml:space="preserve">Оптические сенсоры</w:t>
            </w:r>
          </w:p>
        </w:tc>
        <w:tc>
          <w:tcPr/>
          <w:p>
            <w:pPr>
              <w:pStyle w:val="Compact"/>
            </w:pPr>
            <w:r>
              <w:t xml:space="preserve">Только датчики, не упаковка</w:t>
            </w:r>
          </w:p>
        </w:tc>
        <w:tc>
          <w:tcPr/>
          <w:p>
            <w:pPr>
              <w:pStyle w:val="Compact"/>
            </w:pPr>
            <w:r>
              <w:t xml:space="preserve">Партнёр, не конкурент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Анокс-витрины музеев</w:t>
            </w:r>
            <w:r>
              <w:t xml:space="preserve"> </w:t>
            </w:r>
            <w:r>
              <w:t xml:space="preserve">(Goppion, Glasbau Hahn)</w:t>
            </w:r>
          </w:p>
        </w:tc>
        <w:tc>
          <w:tcPr/>
          <w:p>
            <w:pPr>
              <w:pStyle w:val="Compact"/>
            </w:pPr>
            <w:r>
              <w:t xml:space="preserve">Штучные витрины $50k+</w:t>
            </w:r>
          </w:p>
        </w:tc>
        <w:tc>
          <w:tcPr/>
          <w:p>
            <w:pPr>
              <w:pStyle w:val="Compact"/>
            </w:pPr>
            <w:r>
              <w:t xml:space="preserve">Не серийный продукт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NomexRus, Pack-Systems</w:t>
            </w:r>
          </w:p>
        </w:tc>
        <w:tc>
          <w:tcPr/>
          <w:p>
            <w:pPr>
              <w:pStyle w:val="Compact"/>
            </w:pPr>
            <w:r>
              <w:t xml:space="preserve">Российская консервация по ГОСТ 9.014</w:t>
            </w:r>
          </w:p>
        </w:tc>
        <w:tc>
          <w:tcPr/>
          <w:p>
            <w:pPr>
              <w:pStyle w:val="Compact"/>
            </w:pPr>
            <w:r>
              <w:t xml:space="preserve">Без оптического мониторинга, без серии под premium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Потенциальный партнёр-производитель</w:t>
            </w:r>
          </w:p>
        </w:tc>
      </w:tr>
    </w:tbl>
    <w:p>
      <w:pPr>
        <w:pStyle w:val="BodyText"/>
      </w:pPr>
      <w:r>
        <w:rPr>
          <w:b/>
          <w:bCs/>
        </w:rPr>
        <w:t xml:space="preserve">Защитный ров:</w:t>
      </w:r>
      <w:r>
        <w:t xml:space="preserve"> </w:t>
      </w:r>
      <w:r>
        <w:t xml:space="preserve">- Патент на комбинацию (полимерно-фольговая оболочка + локальное прозрачное окно + пассивный оптический spot + газ + абсорбер + алгоритм самодиагностики).</w:t>
      </w:r>
      <w:r>
        <w:t xml:space="preserve"> </w:t>
      </w:r>
      <w:r>
        <w:t xml:space="preserve">- Эксклюзивные дистрибьюторские договоры с Mitsubishi и PreSens на регион ЕАЭС.</w:t>
      </w:r>
      <w:r>
        <w:t xml:space="preserve"> </w:t>
      </w:r>
      <w:r>
        <w:t xml:space="preserve">- Сертификация ГОСТ Р + допуск к гособоронзаказу — барьер для иностранцев.</w:t>
      </w:r>
    </w:p>
    <w:p>
      <w:r>
        <w:pict>
          <v:rect style="width:0;height:1.5pt" o:hralign="center" o:hrstd="t" o:hr="t"/>
        </w:pict>
      </w:r>
    </w:p>
    <w:bookmarkEnd w:id="18"/>
    <w:bookmarkStart w:id="19" w:name="X40e3158f44ee7708358272ec5c72ae93a8bc481"/>
    <w:p>
      <w:pPr>
        <w:pStyle w:val="Heading2"/>
      </w:pPr>
      <w:r>
        <w:t xml:space="preserve">Слайд 10 — Unit Economics (на примере INERTUM Auto)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Статья</w:t>
            </w:r>
          </w:p>
        </w:tc>
        <w:tc>
          <w:tcPr/>
          <w:p>
            <w:pPr>
              <w:pStyle w:val="Compact"/>
            </w:pPr>
            <w:r>
              <w:t xml:space="preserve">$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Ламинат PET/Al-foil/LLDPE 30 м² × $15</w:t>
            </w:r>
          </w:p>
        </w:tc>
        <w:tc>
          <w:tcPr/>
          <w:p>
            <w:pPr>
              <w:pStyle w:val="Compact"/>
            </w:pPr>
            <w:r>
              <w:t xml:space="preserve">450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Жёсткий каркас (профиль + фитинги)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Молния YKK Aquaseal 8 м × $20</w:t>
            </w:r>
          </w:p>
        </w:tc>
        <w:tc>
          <w:tcPr/>
          <w:p>
            <w:pPr>
              <w:pStyle w:val="Compact"/>
            </w:pPr>
            <w:r>
              <w:t xml:space="preserve">160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Газ: N₂ 2 баллона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Кислород-абсорбер: 6 саше Ageless Z-2000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Оптические патчи PreSens × 3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Упаковка, сборка, логистика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Цена продажи розница</w:t>
            </w:r>
          </w:p>
        </w:tc>
        <w:tc>
          <w:tcPr/>
          <w:p>
            <w:pPr>
              <w:pStyle w:val="Compact"/>
            </w:pPr>
            <w:r>
              <w:t xml:space="preserve">7 000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Gross profit на капсулу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5 640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Gross margin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80.6 %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Точка безубыточности по модели Auto:</w:t>
      </w:r>
      <w:r>
        <w:t xml:space="preserve"> </w:t>
      </w:r>
      <w:r>
        <w:t xml:space="preserve">- OpEx (зарплаты, аренда, маркетинг, R&amp;D) ≈ $250 тыс. / квартал</w:t>
      </w:r>
      <w:r>
        <w:t xml:space="preserve"> </w:t>
      </w:r>
      <w:r>
        <w:t xml:space="preserve">- Break-even: ~45 капсул в квартал по средней цене $7k</w:t>
      </w:r>
      <w:r>
        <w:t xml:space="preserve"> </w:t>
      </w:r>
      <w:r>
        <w:t xml:space="preserve">- Целевой объём 2-го года: 200 капсул/квартал</w:t>
      </w:r>
    </w:p>
    <w:p>
      <w:r>
        <w:pict>
          <v:rect style="width:0;height:1.5pt" o:hralign="center" o:hrstd="t" o:hr="t"/>
        </w:pict>
      </w:r>
    </w:p>
    <w:bookmarkEnd w:id="19"/>
    <w:bookmarkStart w:id="20" w:name="слайд-11-financial-projections-5-лет"/>
    <w:p>
      <w:pPr>
        <w:pStyle w:val="Heading2"/>
      </w:pPr>
      <w:r>
        <w:t xml:space="preserve">Слайд 11 — Financial Projections (5 лет)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Год</w:t>
            </w:r>
          </w:p>
        </w:tc>
        <w:tc>
          <w:tcPr/>
          <w:p>
            <w:pPr>
              <w:pStyle w:val="Compact"/>
            </w:pPr>
            <w:r>
              <w:t xml:space="preserve">Выручка</w:t>
            </w:r>
          </w:p>
        </w:tc>
        <w:tc>
          <w:tcPr/>
          <w:p>
            <w:pPr>
              <w:pStyle w:val="Compact"/>
            </w:pPr>
            <w:r>
              <w:t xml:space="preserve">Gross Profit</w:t>
            </w:r>
          </w:p>
        </w:tc>
        <w:tc>
          <w:tcPr/>
          <w:p>
            <w:pPr>
              <w:pStyle w:val="Compact"/>
            </w:pPr>
            <w:r>
              <w:t xml:space="preserve">OpEx</w:t>
            </w:r>
          </w:p>
        </w:tc>
        <w:tc>
          <w:tcPr/>
          <w:p>
            <w:pPr>
              <w:pStyle w:val="Compact"/>
            </w:pPr>
            <w:r>
              <w:t xml:space="preserve">EBITDA</w:t>
            </w:r>
          </w:p>
        </w:tc>
        <w:tc>
          <w:tcPr/>
          <w:p>
            <w:pPr>
              <w:pStyle w:val="Compact"/>
            </w:pPr>
            <w:r>
              <w:t xml:space="preserve">EBITDA margin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</w:t>
            </w:r>
            <w:r>
              <w:t xml:space="preserve"> </w:t>
            </w:r>
            <w:r>
              <w:t xml:space="preserve">(R&amp;D + прототипы)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$400k</w:t>
            </w:r>
          </w:p>
        </w:tc>
        <w:tc>
          <w:tcPr/>
          <w:p>
            <w:pPr>
              <w:pStyle w:val="Compact"/>
            </w:pPr>
            <w:r>
              <w:t xml:space="preserve">-$400k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2027</w:t>
            </w:r>
            <w:r>
              <w:t xml:space="preserve"> </w:t>
            </w:r>
            <w:r>
              <w:t xml:space="preserve">(первые контракты)</w:t>
            </w:r>
          </w:p>
        </w:tc>
        <w:tc>
          <w:tcPr/>
          <w:p>
            <w:pPr>
              <w:pStyle w:val="Compact"/>
            </w:pPr>
            <w:r>
              <w:t xml:space="preserve">$1.5M</w:t>
            </w:r>
          </w:p>
        </w:tc>
        <w:tc>
          <w:tcPr/>
          <w:p>
            <w:pPr>
              <w:pStyle w:val="Compact"/>
            </w:pPr>
            <w:r>
              <w:t xml:space="preserve">$1.05M</w:t>
            </w:r>
          </w:p>
        </w:tc>
        <w:tc>
          <w:tcPr/>
          <w:p>
            <w:pPr>
              <w:pStyle w:val="Compact"/>
            </w:pPr>
            <w:r>
              <w:t xml:space="preserve">$850k</w:t>
            </w:r>
          </w:p>
        </w:tc>
        <w:tc>
          <w:tcPr/>
          <w:p>
            <w:pPr>
              <w:pStyle w:val="Compact"/>
            </w:pPr>
            <w:r>
              <w:t xml:space="preserve">$200k</w:t>
            </w:r>
          </w:p>
        </w:tc>
        <w:tc>
          <w:tcPr/>
          <w:p>
            <w:pPr>
              <w:pStyle w:val="Compact"/>
            </w:pPr>
            <w:r>
              <w:t xml:space="preserve">13%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2028</w:t>
            </w:r>
            <w:r>
              <w:t xml:space="preserve"> </w:t>
            </w:r>
            <w:r>
              <w:t xml:space="preserve">(серия + тендеры)</w:t>
            </w:r>
          </w:p>
        </w:tc>
        <w:tc>
          <w:tcPr/>
          <w:p>
            <w:pPr>
              <w:pStyle w:val="Compact"/>
            </w:pPr>
            <w:r>
              <w:t xml:space="preserve">$5.0M</w:t>
            </w:r>
          </w:p>
        </w:tc>
        <w:tc>
          <w:tcPr/>
          <w:p>
            <w:pPr>
              <w:pStyle w:val="Compact"/>
            </w:pPr>
            <w:r>
              <w:t xml:space="preserve">$3.6M</w:t>
            </w:r>
          </w:p>
        </w:tc>
        <w:tc>
          <w:tcPr/>
          <w:p>
            <w:pPr>
              <w:pStyle w:val="Compact"/>
            </w:pPr>
            <w:r>
              <w:t xml:space="preserve">$1.8M</w:t>
            </w:r>
          </w:p>
        </w:tc>
        <w:tc>
          <w:tcPr/>
          <w:p>
            <w:pPr>
              <w:pStyle w:val="Compact"/>
            </w:pPr>
            <w:r>
              <w:t xml:space="preserve">$1.8M</w:t>
            </w:r>
          </w:p>
        </w:tc>
        <w:tc>
          <w:tcPr/>
          <w:p>
            <w:pPr>
              <w:pStyle w:val="Compact"/>
            </w:pPr>
            <w:r>
              <w:t xml:space="preserve">36%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2029</w:t>
            </w:r>
            <w:r>
              <w:t xml:space="preserve"> </w:t>
            </w:r>
            <w:r>
              <w:t xml:space="preserve">(международные рынки)</w:t>
            </w:r>
          </w:p>
        </w:tc>
        <w:tc>
          <w:tcPr/>
          <w:p>
            <w:pPr>
              <w:pStyle w:val="Compact"/>
            </w:pPr>
            <w:r>
              <w:t xml:space="preserve">$12M</w:t>
            </w:r>
          </w:p>
        </w:tc>
        <w:tc>
          <w:tcPr/>
          <w:p>
            <w:pPr>
              <w:pStyle w:val="Compact"/>
            </w:pPr>
            <w:r>
              <w:t xml:space="preserve">$9.0M</w:t>
            </w:r>
          </w:p>
        </w:tc>
        <w:tc>
          <w:tcPr/>
          <w:p>
            <w:pPr>
              <w:pStyle w:val="Compact"/>
            </w:pPr>
            <w:r>
              <w:t xml:space="preserve">$4.0M</w:t>
            </w:r>
          </w:p>
        </w:tc>
        <w:tc>
          <w:tcPr/>
          <w:p>
            <w:pPr>
              <w:pStyle w:val="Compact"/>
            </w:pPr>
            <w:r>
              <w:t xml:space="preserve">$5.0M</w:t>
            </w:r>
          </w:p>
        </w:tc>
        <w:tc>
          <w:tcPr/>
          <w:p>
            <w:pPr>
              <w:pStyle w:val="Compact"/>
            </w:pPr>
            <w:r>
              <w:t xml:space="preserve">42%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2030</w:t>
            </w:r>
            <w:r>
              <w:t xml:space="preserve"> </w:t>
            </w:r>
            <w:r>
              <w:t xml:space="preserve">(лицензирование)</w:t>
            </w:r>
          </w:p>
        </w:tc>
        <w:tc>
          <w:tcPr/>
          <w:p>
            <w:pPr>
              <w:pStyle w:val="Compact"/>
            </w:pPr>
            <w:r>
              <w:t xml:space="preserve">$25M</w:t>
            </w:r>
          </w:p>
        </w:tc>
        <w:tc>
          <w:tcPr/>
          <w:p>
            <w:pPr>
              <w:pStyle w:val="Compact"/>
            </w:pPr>
            <w:r>
              <w:t xml:space="preserve">$19M</w:t>
            </w:r>
          </w:p>
        </w:tc>
        <w:tc>
          <w:tcPr/>
          <w:p>
            <w:pPr>
              <w:pStyle w:val="Compact"/>
            </w:pPr>
            <w:r>
              <w:t xml:space="preserve">$7.0M</w:t>
            </w:r>
          </w:p>
        </w:tc>
        <w:tc>
          <w:tcPr/>
          <w:p>
            <w:pPr>
              <w:pStyle w:val="Compact"/>
            </w:pPr>
            <w:r>
              <w:t xml:space="preserve">$12M</w:t>
            </w:r>
          </w:p>
        </w:tc>
        <w:tc>
          <w:tcPr/>
          <w:p>
            <w:pPr>
              <w:pStyle w:val="Compact"/>
            </w:pPr>
            <w:r>
              <w:t xml:space="preserve">48%</w:t>
            </w:r>
          </w:p>
        </w:tc>
      </w:tr>
    </w:tbl>
    <w:p>
      <w:pPr>
        <w:pStyle w:val="BodyText"/>
      </w:pPr>
      <w:r>
        <w:rPr>
          <w:b/>
          <w:bCs/>
        </w:rPr>
        <w:t xml:space="preserve">Predictably зависит от:</w:t>
      </w:r>
      <w:r>
        <w:t xml:space="preserve"> </w:t>
      </w:r>
      <w:r>
        <w:t xml:space="preserve">- Скорости получения патента (если задержка &gt;12 мес — модель сдвигается)</w:t>
      </w:r>
      <w:r>
        <w:t xml:space="preserve"> </w:t>
      </w:r>
      <w:r>
        <w:t xml:space="preserve">- Скорости тендеров Росрезерва (могут затянуться, могут ускорить)</w:t>
      </w:r>
      <w:r>
        <w:t xml:space="preserve"> </w:t>
      </w:r>
      <w:r>
        <w:t xml:space="preserve">- Курсов валют (себестоимость в $, продажи в ₽ для РФ-сегмента)</w:t>
      </w:r>
    </w:p>
    <w:p>
      <w:pPr>
        <w:pStyle w:val="BodyText"/>
      </w:pPr>
      <w:r>
        <w:rPr>
          <w:b/>
          <w:bCs/>
        </w:rPr>
        <w:t xml:space="preserve">Чувствительность:</w:t>
      </w:r>
      <w:r>
        <w:t xml:space="preserve"> </w:t>
      </w:r>
      <w:r>
        <w:t xml:space="preserve">при падении средней цены на 20% выручка 2030 падает до $20M, EBITDA до $9M.</w:t>
      </w:r>
    </w:p>
    <w:p>
      <w:r>
        <w:pict>
          <v:rect style="width:0;height:1.5pt" o:hralign="center" o:hrstd="t" o:hr="t"/>
        </w:pict>
      </w:r>
    </w:p>
    <w:bookmarkEnd w:id="20"/>
    <w:bookmarkStart w:id="23" w:name="слайд-12-team-ask"/>
    <w:p>
      <w:pPr>
        <w:pStyle w:val="Heading2"/>
      </w:pPr>
      <w:r>
        <w:t xml:space="preserve">Слайд 12 — Team &amp; Ask</w:t>
      </w:r>
    </w:p>
    <w:bookmarkStart w:id="21" w:name="команда"/>
    <w:p>
      <w:pPr>
        <w:pStyle w:val="Heading3"/>
      </w:pPr>
      <w:r>
        <w:t xml:space="preserve">Команда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Аслан КАА — Founder, CEO</w:t>
      </w:r>
      <w:r>
        <w:t xml:space="preserve"> </w:t>
      </w:r>
      <w:r>
        <w:t xml:space="preserve">Многопрофильный предприниматель с подтверждёнными каналами в нефтегазе РФ (Усть-Кут-Нефтегаз), КНР, Казахстане, Ближнем Востоке.</w:t>
      </w:r>
      <w:r>
        <w:t xml:space="preserve"> </w:t>
      </w:r>
      <w:r>
        <w:t xml:space="preserve">Email: idriskaaa@gmail.com · сайт: aslankaa.com</w:t>
      </w:r>
      <w:r>
        <w:t xml:space="preserve"> </w:t>
      </w:r>
      <w:r>
        <w:t xml:space="preserve">Опыт работы с китайскими инвесторами и государственными структурами РФ.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Открытые роли (нанимаем после раунда):</w:t>
      </w:r>
    </w:p>
    <w:p>
      <w:pPr>
        <w:pStyle w:val="Compact"/>
        <w:numPr>
          <w:ilvl w:val="1"/>
          <w:numId w:val="1003"/>
        </w:numPr>
      </w:pPr>
      <w:r>
        <w:t xml:space="preserve">CTO — embedded engineer с опытом IoT и mil-spec упаковки</w:t>
      </w:r>
    </w:p>
    <w:p>
      <w:pPr>
        <w:pStyle w:val="Compact"/>
        <w:numPr>
          <w:ilvl w:val="1"/>
          <w:numId w:val="1003"/>
        </w:numPr>
      </w:pPr>
      <w:r>
        <w:t xml:space="preserve">Head of Sales — связи в премиум-сегменте (коллекционные авто, банки, страховщики)</w:t>
      </w:r>
    </w:p>
    <w:p>
      <w:pPr>
        <w:pStyle w:val="Compact"/>
        <w:numPr>
          <w:ilvl w:val="1"/>
          <w:numId w:val="1003"/>
        </w:numPr>
      </w:pPr>
      <w:r>
        <w:t xml:space="preserve">Head of R&amp;D — материаловед / упаковщик с опытом MIL-PRF-131 или ГОСТ 9.014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Партнёры по компетенциям (в работе):</w:t>
      </w:r>
    </w:p>
    <w:p>
      <w:pPr>
        <w:pStyle w:val="Compact"/>
        <w:numPr>
          <w:ilvl w:val="1"/>
          <w:numId w:val="1004"/>
        </w:numPr>
      </w:pPr>
      <w:r>
        <w:t xml:space="preserve">Промэлектроника-Дизайн / Promwad / IOT Vega — IoT-разработка</w:t>
      </w:r>
    </w:p>
    <w:p>
      <w:pPr>
        <w:pStyle w:val="Compact"/>
        <w:numPr>
          <w:ilvl w:val="1"/>
          <w:numId w:val="1004"/>
        </w:numPr>
      </w:pPr>
      <w:r>
        <w:t xml:space="preserve">NomexRus / Pack-Systems — производство ламината и сборка</w:t>
      </w:r>
    </w:p>
    <w:p>
      <w:pPr>
        <w:pStyle w:val="Compact"/>
        <w:numPr>
          <w:ilvl w:val="1"/>
          <w:numId w:val="1004"/>
        </w:numPr>
      </w:pPr>
      <w:r>
        <w:t xml:space="preserve">Патентный поверенный РФ + ЕАПО (выбор на этапе подачи)</w:t>
      </w:r>
    </w:p>
    <w:bookmarkEnd w:id="21"/>
    <w:bookmarkStart w:id="22" w:name="ask"/>
    <w:p>
      <w:pPr>
        <w:pStyle w:val="Heading3"/>
      </w:pPr>
      <w:r>
        <w:t xml:space="preserve">Ask</w:t>
      </w:r>
    </w:p>
    <w:p>
      <w:pPr>
        <w:pStyle w:val="FirstParagraph"/>
      </w:pPr>
      <w:r>
        <w:rPr>
          <w:b/>
          <w:bCs/>
        </w:rPr>
        <w:t xml:space="preserve">Привлекаем $750 000 pre-seed / 8% equity.</w:t>
      </w:r>
    </w:p>
    <w:p>
      <w:pPr>
        <w:pStyle w:val="BodyText"/>
      </w:pPr>
      <w:r>
        <w:rPr>
          <w:b/>
          <w:bCs/>
        </w:rPr>
        <w:t xml:space="preserve">На что: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Статья</w:t>
            </w:r>
          </w:p>
        </w:tc>
        <w:tc>
          <w:tcPr/>
          <w:p>
            <w:pPr>
              <w:pStyle w:val="Compact"/>
            </w:pPr>
            <w:r>
              <w:t xml:space="preserve">$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Подача патентов (РФ + ЕАПО + PCT)</w:t>
            </w:r>
          </w:p>
        </w:tc>
        <w:tc>
          <w:tcPr/>
          <w:p>
            <w:pPr>
              <w:pStyle w:val="Compact"/>
            </w:pPr>
            <w:r>
              <w:t xml:space="preserve">60 000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Прототипы №1, №2, №3 (mото / авто / архив) + испытания</w:t>
            </w:r>
          </w:p>
        </w:tc>
        <w:tc>
          <w:tcPr/>
          <w:p>
            <w:pPr>
              <w:pStyle w:val="Compact"/>
            </w:pPr>
            <w:r>
              <w:t xml:space="preserve">80 000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Сертификация ГОСТ Р + ГОСТ В</w:t>
            </w:r>
          </w:p>
        </w:tc>
        <w:tc>
          <w:tcPr/>
          <w:p>
            <w:pPr>
              <w:pStyle w:val="Compact"/>
            </w:pPr>
            <w:r>
              <w:t xml:space="preserve">50 000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Капитальные инвестиции (PreSens ридеры × 5, сварочное оборудование)</w:t>
            </w:r>
          </w:p>
        </w:tc>
        <w:tc>
          <w:tcPr/>
          <w:p>
            <w:pPr>
              <w:pStyle w:val="Compact"/>
            </w:pPr>
            <w:r>
              <w:t xml:space="preserve">60 000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OpEx 12 месяцев (CEO + 3 инженера + офис)</w:t>
            </w:r>
          </w:p>
        </w:tc>
        <w:tc>
          <w:tcPr/>
          <w:p>
            <w:pPr>
              <w:pStyle w:val="Compact"/>
            </w:pPr>
            <w:r>
              <w:t xml:space="preserve">350 000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Маркетинг + первые продажи</w:t>
            </w:r>
          </w:p>
        </w:tc>
        <w:tc>
          <w:tcPr/>
          <w:p>
            <w:pPr>
              <w:pStyle w:val="Compact"/>
            </w:pPr>
            <w:r>
              <w:t xml:space="preserve">80 000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Юр.поддержка + регистрация компании в РФ/Казахстане/ОАЭ</w:t>
            </w:r>
          </w:p>
        </w:tc>
        <w:tc>
          <w:tcPr/>
          <w:p>
            <w:pPr>
              <w:pStyle w:val="Compact"/>
            </w:pPr>
            <w:r>
              <w:t xml:space="preserve">30 000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Резерв</w:t>
            </w:r>
          </w:p>
        </w:tc>
        <w:tc>
          <w:tcPr/>
          <w:p>
            <w:pPr>
              <w:pStyle w:val="Compact"/>
            </w:pPr>
            <w:r>
              <w:t xml:space="preserve">40 000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$ 750 000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инвестор получит за 18 месяцев:</w:t>
      </w:r>
      <w:r>
        <w:t xml:space="preserve"> </w:t>
      </w:r>
      <w:r>
        <w:t xml:space="preserve">- Действующий патент в РФ + поданная PCT.</w:t>
      </w:r>
      <w:r>
        <w:t xml:space="preserve"> </w:t>
      </w:r>
      <w:r>
        <w:t xml:space="preserve">- 3 рабочих прототипа с подтверждёнными протоколами испытаний.</w:t>
      </w:r>
      <w:r>
        <w:t xml:space="preserve"> </w:t>
      </w:r>
      <w:r>
        <w:t xml:space="preserve">- 5–10 пилотных контрактов на сумму $300–500 тыс. ARR.</w:t>
      </w:r>
      <w:r>
        <w:t xml:space="preserve"> </w:t>
      </w:r>
      <w:r>
        <w:t xml:space="preserve">- Готовность к Series A на $3–5M на серийное производство и международную экспансию.</w:t>
      </w:r>
    </w:p>
    <w:p>
      <w:pPr>
        <w:pStyle w:val="BodyText"/>
      </w:pPr>
      <w:r>
        <w:rPr>
          <w:b/>
          <w:bCs/>
        </w:rPr>
        <w:t xml:space="preserve">Целевая оценка для Series A:</w:t>
      </w:r>
      <w:r>
        <w:t xml:space="preserve"> </w:t>
      </w:r>
      <w:r>
        <w:t xml:space="preserve">$20–30M post-money (через 18 мес. при выполнении плана).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контакты"/>
    <w:p>
      <w:pPr>
        <w:pStyle w:val="Heading2"/>
      </w:pPr>
      <w:r>
        <w:t xml:space="preserve">Контакты</w:t>
      </w:r>
    </w:p>
    <w:p>
      <w:pPr>
        <w:pStyle w:val="FirstParagraph"/>
      </w:pPr>
      <w:r>
        <w:rPr>
          <w:b/>
          <w:bCs/>
        </w:rPr>
        <w:t xml:space="preserve">Аслан КАА</w:t>
      </w:r>
      <w:r>
        <w:t xml:space="preserve"> </w:t>
      </w:r>
      <w:r>
        <w:t xml:space="preserve">- Email: idriskaaa@gmail.com</w:t>
      </w:r>
      <w:r>
        <w:t xml:space="preserve"> </w:t>
      </w:r>
      <w:r>
        <w:t xml:space="preserve">- Сайт: aslankaa.com</w:t>
      </w:r>
      <w:r>
        <w:t xml:space="preserve"> </w:t>
      </w:r>
      <w:r>
        <w:t xml:space="preserve">- Канал в Telegram / WhatsApp — по запросу</w:t>
      </w:r>
      <w:r>
        <w:t xml:space="preserve"> </w:t>
      </w:r>
      <w:r>
        <w:t xml:space="preserve">- Готов к Zoom-встрече в течение 48 часов</w:t>
      </w:r>
    </w:p>
    <w:p>
      <w:pPr>
        <w:pStyle w:val="BodyText"/>
      </w:pPr>
      <w:r>
        <w:rPr>
          <w:b/>
          <w:bCs/>
        </w:rPr>
        <w:t xml:space="preserve">Документы для due diligence (NDA по запросу):</w:t>
      </w:r>
      <w:r>
        <w:t xml:space="preserve"> </w:t>
      </w:r>
      <w:r>
        <w:t xml:space="preserve">- Полный текст патентной заявки v2.1 (60+ страниц)</w:t>
      </w:r>
      <w:r>
        <w:t xml:space="preserve"> </w:t>
      </w:r>
      <w:r>
        <w:t xml:space="preserve">- Техническая справка с реальными источниками (~15 000 слов, ~50 ссылок)</w:t>
      </w:r>
      <w:r>
        <w:t xml:space="preserve"> </w:t>
      </w:r>
      <w:r>
        <w:t xml:space="preserve">- Отчёт о патентном поиске по 21 аналогу</w:t>
      </w:r>
      <w:r>
        <w:t xml:space="preserve"> </w:t>
      </w:r>
      <w:r>
        <w:t xml:space="preserve">- ТЗ на прототип №1 с полной BOM</w:t>
      </w:r>
      <w:r>
        <w:t xml:space="preserve"> </w:t>
      </w:r>
      <w:r>
        <w:t xml:space="preserve">- Список топ-3 поставщиков ламината и датчиков</w:t>
      </w:r>
      <w:r>
        <w:t xml:space="preserve"> </w:t>
      </w:r>
      <w:r>
        <w:t xml:space="preserve">- Финансовая модель в Excel с sensitivity анализом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Документ подготовлен 2026-05-08, версия 1.0.</w:t>
      </w:r>
    </w:p>
    <w:p>
      <w:pPr>
        <w:pStyle w:val="BodyText"/>
      </w:pPr>
      <w:r>
        <w:rPr>
          <w:i/>
          <w:iCs/>
        </w:rPr>
        <w:t xml:space="preserve">Перед рассылкой инвесторам — обязательно подписать NDA. Категорически запрещено публиковать материалы патентной заявки в открытых источниках до даты приоритета — это уничтожает новизну.</w:t>
      </w:r>
    </w:p>
    <w:p>
      <w:pPr>
        <w:pStyle w:val="BodyText"/>
      </w:pPr>
      <w:r>
        <w:t xml:space="preserve">Заказчик: Аслан КАА · idriskaaa@gmail.com · aslankaa.com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2026-05-08T21:12:57Z</dcterms:created>
  <dcterms:modified xsi:type="dcterms:W3CDTF">2026-05-08T21:12:57Z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