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f82f54f8bcd55b98fff07ebe1605c2d1e2027db"/>
    <w:p>
      <w:pPr>
        <w:pStyle w:val="Heading1"/>
      </w:pPr>
      <w:r>
        <w:t xml:space="preserve">Системы инертного хранения промышленных товаров</w:t>
      </w:r>
    </w:p>
    <w:bookmarkStart w:id="9" w:name="техническая-справка-v1.0"/>
    <w:p>
      <w:pPr>
        <w:pStyle w:val="Heading2"/>
      </w:pPr>
      <w:r>
        <w:t xml:space="preserve">Техническая справка v1.0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Аслан КАА (idriskaaa@gmail.com · aslankaa.com)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Внутренний документ. База для презентаций инвесторам, тендерных заявок (Росрезерв, Минобороны, Минздрав), патентных заявок (ЕАЭС/PCT).</w:t>
      </w:r>
    </w:p>
    <w:p>
      <w:r>
        <w:pict>
          <v:rect style="width:0;height:1.5pt" o:hralign="center" o:hrstd="t" o:hr="t"/>
        </w:pict>
      </w:r>
    </w:p>
    <w:bookmarkEnd w:id="9"/>
    <w:bookmarkStart w:id="10" w:name="tldr-для-инвестора-1-страница"/>
    <w:p>
      <w:pPr>
        <w:pStyle w:val="Heading2"/>
      </w:pPr>
      <w:r>
        <w:t xml:space="preserve">TL;DR (для инвестора, 1 страница)</w:t>
      </w:r>
    </w:p>
    <w:p>
      <w:pPr>
        <w:pStyle w:val="FirstParagraph"/>
      </w:pPr>
      <w:r>
        <w:rPr>
          <w:b/>
          <w:bCs/>
        </w:rPr>
        <w:t xml:space="preserve">Что:</w:t>
      </w:r>
      <w:r>
        <w:t xml:space="preserve"> </w:t>
      </w:r>
      <w:r>
        <w:t xml:space="preserve">герметичные капсулы и многослойные ламинатные пакеты с инертной средой (азот / аргон) и кислород-абсорберами для долговременного (10–50 лет) хранения дорогостоящих промышленных товаров.</w:t>
      </w:r>
    </w:p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в существующих решениях есть</w:t>
      </w:r>
      <w:r>
        <w:t xml:space="preserve"> </w:t>
      </w:r>
      <w:r>
        <w:rPr>
          <w:b/>
          <w:bCs/>
        </w:rPr>
        <w:t xml:space="preserve">функциональный разрыв</w:t>
      </w:r>
      <w:r>
        <w:t xml:space="preserve">:</w:t>
      </w:r>
      <w:r>
        <w:t xml:space="preserve"> </w:t>
      </w:r>
      <w:r>
        <w:t xml:space="preserve">- Музеи (US National Archives, Library of Congress) умеют делать аргоновые капсулы под уникальные артефакты — но штучно, не как продукт.</w:t>
      </w:r>
      <w:r>
        <w:t xml:space="preserve"> </w:t>
      </w:r>
      <w:r>
        <w:t xml:space="preserve">- Военные (MIL-STD-2073, ГОСТ В 9.014) знают азотный продув — только для агрегатов, не для целых изделий.</w:t>
      </w:r>
      <w:r>
        <w:t xml:space="preserve"> </w:t>
      </w:r>
      <w:r>
        <w:t xml:space="preserve">- Авто-сегмент (CarCapsule, Carcoon) работает на осушенном воздухе и VCI — без инертного газа.</w:t>
      </w:r>
      <w:r>
        <w:t xml:space="preserve"> </w:t>
      </w:r>
      <w:r>
        <w:t xml:space="preserve">- MAP-индустрия (Sealed Air, Amcor) — для упаковки еды на 1–2 года, не для долговременного хранения промтоваров.</w:t>
      </w:r>
    </w:p>
    <w:p>
      <w:pPr>
        <w:pStyle w:val="BodyText"/>
      </w:pPr>
      <w:r>
        <w:rPr>
          <w:b/>
          <w:bCs/>
        </w:rPr>
        <w:t xml:space="preserve">Никто не предлагает универсальный продукт «толстостенный ламинатный пакет / жёсткая капсула + инертный газ + кислород-абсорбер + IoT-мониторинг» под промсегмент.</w:t>
      </w:r>
    </w:p>
    <w:p>
      <w:pPr>
        <w:pStyle w:val="BodyText"/>
      </w:pPr>
      <w:r>
        <w:rPr>
          <w:b/>
          <w:bCs/>
        </w:rPr>
        <w:t xml:space="preserve">Кому продавать:</w:t>
      </w:r>
      <w:r>
        <w:t xml:space="preserve"> </w:t>
      </w:r>
      <w:r>
        <w:t xml:space="preserve">1. Коллекционеры авто, оружия, часов, произведений искусства (Ближний Восток, Азия, премиум-РФ).</w:t>
      </w:r>
      <w:r>
        <w:t xml:space="preserve"> </w:t>
      </w:r>
      <w:r>
        <w:t xml:space="preserve">2. Музеи и архивы (РФ, СНГ — нет своего поставщика, импортируют Goppion/Glasbau Hahn).</w:t>
      </w:r>
      <w:r>
        <w:t xml:space="preserve"> </w:t>
      </w:r>
      <w:r>
        <w:t xml:space="preserve">3. Государственные стратегические резервы (Росрезерв, Минздрав, Минобороны РФ).</w:t>
      </w:r>
      <w:r>
        <w:t xml:space="preserve"> </w:t>
      </w:r>
      <w:r>
        <w:t xml:space="preserve">4. Фармацевтика (стратегические запасы вакцин и API).</w:t>
      </w:r>
      <w:r>
        <w:t xml:space="preserve"> </w:t>
      </w:r>
      <w:r>
        <w:t xml:space="preserve">5. Нефтегаз / атомная отрасль (длительная консервация запасных агрегатов).</w:t>
      </w:r>
    </w:p>
    <w:p>
      <w:pPr>
        <w:pStyle w:val="BodyText"/>
      </w:pPr>
      <w:r>
        <w:rPr>
          <w:b/>
          <w:bCs/>
        </w:rPr>
        <w:t xml:space="preserve">Размер рынка (для оценки):</w:t>
      </w:r>
      <w:r>
        <w:t xml:space="preserve"> </w:t>
      </w:r>
      <w:r>
        <w:t xml:space="preserve">- Food packaging: $421B (2025) → $548B (2030) [MarketsAndMarkets].</w:t>
      </w:r>
      <w:r>
        <w:t xml:space="preserve"> </w:t>
      </w:r>
      <w:r>
        <w:t xml:space="preserve">- Pharma packaging: ~$130B (2025).</w:t>
      </w:r>
      <w:r>
        <w:t xml:space="preserve"> </w:t>
      </w:r>
      <w:r>
        <w:t xml:space="preserve">- Collector-car preservation: $3–5B при $20B+ collector-car insurance market.</w:t>
      </w:r>
      <w:r>
        <w:t xml:space="preserve"> </w:t>
      </w:r>
      <w:r>
        <w:t xml:space="preserve">- Long-term industrial preservation: оценок нет (фрагментирован), но MIL-STD-2073 и ГОСТ В 9.014 регулируют миллиарды долларов госзаказа.</w:t>
      </w:r>
    </w:p>
    <w:p>
      <w:pPr>
        <w:pStyle w:val="BodyText"/>
      </w:pPr>
      <w:r>
        <w:rPr>
          <w:b/>
          <w:bCs/>
        </w:rPr>
        <w:t xml:space="preserve">Патентная чистота:</w:t>
      </w:r>
      <w:r>
        <w:t xml:space="preserve"> </w:t>
      </w:r>
      <w:r>
        <w:t xml:space="preserve">ближайшие патенты — US5659932A (погребальная капсула), US7723701B1 (лабораторные образцы), CN203497420U (вакуумный авточехол без газа).</w:t>
      </w:r>
      <w:r>
        <w:t xml:space="preserve"> </w:t>
      </w:r>
      <w:r>
        <w:rPr>
          <w:b/>
          <w:bCs/>
        </w:rPr>
        <w:t xml:space="preserve">Ниша «многослойный ламинат + аргон/азот + IoT-мониторинг для целого промышленного изделия» свободна.</w:t>
      </w:r>
    </w:p>
    <w:p>
      <w:r>
        <w:pict>
          <v:rect style="width:0;height:1.5pt" o:hralign="center" o:hrstd="t" o:hr="t"/>
        </w:pict>
      </w:r>
    </w:p>
    <w:bookmarkEnd w:id="10"/>
    <w:bookmarkStart w:id="13" w:name="X3d24e51c30351970258e6f544c511423e01d45e"/>
    <w:p>
      <w:pPr>
        <w:pStyle w:val="Heading2"/>
      </w:pPr>
      <w:r>
        <w:t xml:space="preserve">1. Проблема долговременного хранения промышленных товаров</w:t>
      </w:r>
    </w:p>
    <w:bookmarkStart w:id="11" w:name="механизмы-деградации-в-обычной-атмосфере"/>
    <w:p>
      <w:pPr>
        <w:pStyle w:val="Heading3"/>
      </w:pPr>
      <w:r>
        <w:t xml:space="preserve">1.1 Механизмы деградации в обычной атмосфере</w:t>
      </w:r>
    </w:p>
    <w:p>
      <w:pPr>
        <w:pStyle w:val="FirstParagraph"/>
      </w:pPr>
      <w:r>
        <w:t xml:space="preserve">Атмосферный воздух содержит ~21% O₂ и до 100% относительной влажности. Эти два фактора инициируют: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Поражаемые товары</w:t>
            </w:r>
          </w:p>
        </w:tc>
        <w:tc>
          <w:tcPr/>
          <w:p>
            <w:pPr>
              <w:pStyle w:val="Compact"/>
            </w:pPr>
            <w:r>
              <w:t xml:space="preserve">Скорость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Окисление металлов</w:t>
            </w:r>
            <w:r>
              <w:t xml:space="preserve"> </w:t>
            </w:r>
            <w:r>
              <w:t xml:space="preserve">(коррозия)</w:t>
            </w:r>
          </w:p>
        </w:tc>
        <w:tc>
          <w:tcPr/>
          <w:p>
            <w:pPr>
              <w:pStyle w:val="Compact"/>
            </w:pPr>
            <w:r>
              <w:t xml:space="preserve">Сталь, медь, серебро, бронза, чугун</w:t>
            </w:r>
          </w:p>
        </w:tc>
        <w:tc>
          <w:tcPr/>
          <w:p>
            <w:pPr>
              <w:pStyle w:val="Compact"/>
            </w:pPr>
            <w:r>
              <w:t xml:space="preserve">0.04–0.5 мм/год при влажности &gt;60%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Гидролиз полимеров</w:t>
            </w:r>
          </w:p>
        </w:tc>
        <w:tc>
          <w:tcPr/>
          <w:p>
            <w:pPr>
              <w:pStyle w:val="Compact"/>
            </w:pPr>
            <w:r>
              <w:t xml:space="preserve">Пластмассы, резина, шины, прокладки</w:t>
            </w:r>
          </w:p>
        </w:tc>
        <w:tc>
          <w:tcPr/>
          <w:p>
            <w:pPr>
              <w:pStyle w:val="Compact"/>
            </w:pPr>
            <w:r>
              <w:t xml:space="preserve">Потеря 10–30% эластичности за 5 лет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Деградация электроники</w:t>
            </w:r>
          </w:p>
        </w:tc>
        <w:tc>
          <w:tcPr/>
          <w:p>
            <w:pPr>
              <w:pStyle w:val="Compact"/>
            </w:pPr>
            <w:r>
              <w:t xml:space="preserve">Контакты, конденсаторы, IC</w:t>
            </w:r>
          </w:p>
        </w:tc>
        <w:tc>
          <w:tcPr/>
          <w:p>
            <w:pPr>
              <w:pStyle w:val="Compact"/>
            </w:pPr>
            <w:r>
              <w:t xml:space="preserve">Tin whiskers, окисление выводов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Окисление активных веществ</w:t>
            </w:r>
          </w:p>
        </w:tc>
        <w:tc>
          <w:tcPr/>
          <w:p>
            <w:pPr>
              <w:pStyle w:val="Compact"/>
            </w:pPr>
            <w:r>
              <w:t xml:space="preserve">Лекарства, витамины, БАД, масла</w:t>
            </w:r>
          </w:p>
        </w:tc>
        <w:tc>
          <w:tcPr/>
          <w:p>
            <w:pPr>
              <w:pStyle w:val="Compact"/>
            </w:pPr>
            <w:r>
              <w:t xml:space="preserve">Потеря 5–15% активности/год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Биологические процессы</w:t>
            </w:r>
          </w:p>
        </w:tc>
        <w:tc>
          <w:tcPr/>
          <w:p>
            <w:pPr>
              <w:pStyle w:val="Compact"/>
            </w:pPr>
            <w:r>
              <w:t xml:space="preserve">Бумага, кожа, текстиль, дерево</w:t>
            </w:r>
          </w:p>
        </w:tc>
        <w:tc>
          <w:tcPr/>
          <w:p>
            <w:pPr>
              <w:pStyle w:val="Compact"/>
            </w:pPr>
            <w:r>
              <w:t xml:space="preserve">Плесень &gt;70% RH; жуки-вредители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Старение фотоматериалов</w:t>
            </w:r>
          </w:p>
        </w:tc>
        <w:tc>
          <w:tcPr/>
          <w:p>
            <w:pPr>
              <w:pStyle w:val="Compact"/>
            </w:pPr>
            <w:r>
              <w:t xml:space="preserve">Плёнка, фотобумага, цифровые носители</w:t>
            </w:r>
          </w:p>
        </w:tc>
        <w:tc>
          <w:tcPr/>
          <w:p>
            <w:pPr>
              <w:pStyle w:val="Compact"/>
            </w:pPr>
            <w:r>
              <w:t xml:space="preserve">Уксусный синдром (acetate film), CD/DVD bit rot</w:t>
            </w:r>
          </w:p>
        </w:tc>
      </w:tr>
    </w:tbl>
    <w:p>
      <w:pPr>
        <w:pStyle w:val="BodyText"/>
      </w:pPr>
      <w:r>
        <w:t xml:space="preserve">Источники: GOST 9.014-78 § 1.2; Maekawa S. «Oxygen-Free Environments in the Control of Museum Insect Pests» (Getty Conservation Institute, 1998).</w:t>
      </w:r>
    </w:p>
    <w:bookmarkEnd w:id="11"/>
    <w:bookmarkStart w:id="12" w:name="стоимость-потерь"/>
    <w:p>
      <w:pPr>
        <w:pStyle w:val="Heading3"/>
      </w:pPr>
      <w:r>
        <w:t xml:space="preserve">1.2 Стоимость потерь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Фарма:</w:t>
      </w:r>
      <w:r>
        <w:t xml:space="preserve"> </w:t>
      </w:r>
      <w:r>
        <w:t xml:space="preserve">до 15% годной продукции списывается из-за нарушений хранения (источник: МВС Engineering, отраслевой обзор).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Food waste:</w:t>
      </w:r>
      <w:r>
        <w:t xml:space="preserve"> </w:t>
      </w:r>
      <w:r>
        <w:t xml:space="preserve">~14% продовольствия теряется на этапе хранения (FAO «State of Food and Agriculture», 2019).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Военные запасы:</w:t>
      </w:r>
      <w:r>
        <w:t xml:space="preserve"> </w:t>
      </w:r>
      <w:r>
        <w:t xml:space="preserve">программа AMARG (Davis-Monthan, США) тратит десятки миллионов в год на консервацию ~3000 единиц авиатехники (нормативные документы 309th AMARG).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Коллекционные авто:</w:t>
      </w:r>
      <w:r>
        <w:t xml:space="preserve"> </w:t>
      </w:r>
      <w:r>
        <w:t xml:space="preserve">сезонные потери ~5–10% стоимости при хранении в неконтролируемой среде (отраслевые оценки страховщиков Hagerty, Chubb).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c408c6866012c282917716cf2c8298ba26d0aa3"/>
    <w:p>
      <w:pPr>
        <w:pStyle w:val="Heading2"/>
      </w:pPr>
      <w:r>
        <w:t xml:space="preserve">2. Классификация технологий долговременной защиты от окисления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</w:pPr>
            <w:r>
              <w:t xml:space="preserve">Газ</w:t>
            </w:r>
          </w:p>
        </w:tc>
        <w:tc>
          <w:tcPr/>
          <w:p>
            <w:pPr>
              <w:pStyle w:val="Compac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Anoxic static</w:t>
            </w:r>
            <w:r>
              <w:t xml:space="preserve"> </w:t>
            </w:r>
            <w:r>
              <w:t xml:space="preserve">(статический бескислород)</w:t>
            </w:r>
          </w:p>
        </w:tc>
        <w:tc>
          <w:tcPr/>
          <w:p>
            <w:pPr>
              <w:pStyle w:val="Compact"/>
            </w:pPr>
            <w:r>
              <w:t xml:space="preserve">Герметичная упаковка + кислород-абсорбер связывает остаточный O₂</w:t>
            </w:r>
          </w:p>
        </w:tc>
        <w:tc>
          <w:tcPr/>
          <w:p>
            <w:pPr>
              <w:pStyle w:val="Compact"/>
            </w:pPr>
            <w:r>
              <w:t xml:space="preserve">Воздух → постепенно &lt;0.1% O₂</w:t>
            </w:r>
          </w:p>
        </w:tc>
        <w:tc>
          <w:tcPr/>
          <w:p>
            <w:pPr>
              <w:pStyle w:val="Compact"/>
            </w:pPr>
            <w:r>
              <w:t xml:space="preserve">Пища (Mountain House, Augason Farms), музеи мелких артефактов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Inert gas flushing/purging</w:t>
            </w:r>
            <w:r>
              <w:t xml:space="preserve"> </w:t>
            </w:r>
            <w:r>
              <w:t xml:space="preserve">(продув)</w:t>
            </w:r>
          </w:p>
        </w:tc>
        <w:tc>
          <w:tcPr/>
          <w:p>
            <w:pPr>
              <w:pStyle w:val="Compact"/>
            </w:pPr>
            <w:r>
              <w:t xml:space="preserve">Откачка O₂ + закачка N₂/Ar</w:t>
            </w:r>
          </w:p>
        </w:tc>
        <w:tc>
          <w:tcPr/>
          <w:p>
            <w:pPr>
              <w:pStyle w:val="Compact"/>
            </w:pPr>
            <w:r>
              <w:t xml:space="preserve">N₂ или Ar</w:t>
            </w:r>
          </w:p>
        </w:tc>
        <w:tc>
          <w:tcPr/>
          <w:p>
            <w:pPr>
              <w:pStyle w:val="Compact"/>
            </w:pPr>
            <w:r>
              <w:t xml:space="preserve">Промышленные стандарты MIL/ГОСТ, фарма, MAP пищи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Inert gas blanketing</w:t>
            </w:r>
            <w:r>
              <w:t xml:space="preserve"> </w:t>
            </w:r>
            <w:r>
              <w:t xml:space="preserve">(одеяло)</w:t>
            </w:r>
          </w:p>
        </w:tc>
        <w:tc>
          <w:tcPr/>
          <w:p>
            <w:pPr>
              <w:pStyle w:val="Compact"/>
            </w:pPr>
            <w:r>
              <w:t xml:space="preserve">Непрерывное поддержание инертной атмосферы</w:t>
            </w:r>
          </w:p>
        </w:tc>
        <w:tc>
          <w:tcPr/>
          <w:p>
            <w:pPr>
              <w:pStyle w:val="Compact"/>
            </w:pPr>
            <w:r>
              <w:t xml:space="preserve">N₂ (преим.)</w:t>
            </w:r>
          </w:p>
        </w:tc>
        <w:tc>
          <w:tcPr/>
          <w:p>
            <w:pPr>
              <w:pStyle w:val="Compact"/>
            </w:pPr>
            <w:r>
              <w:t xml:space="preserve">Танки нефти/масла, силосы зерна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VCI</w:t>
            </w:r>
            <w:r>
              <w:t xml:space="preserve"> </w:t>
            </w:r>
            <w:r>
              <w:t xml:space="preserve">(летучие ингибиторы коррозии)</w:t>
            </w:r>
          </w:p>
        </w:tc>
        <w:tc>
          <w:tcPr/>
          <w:p>
            <w:pPr>
              <w:pStyle w:val="Compact"/>
            </w:pPr>
            <w:r>
              <w:t xml:space="preserve">Молекулы испаряются в полости и адсорбируются на металле</w:t>
            </w:r>
          </w:p>
        </w:tc>
        <w:tc>
          <w:tcPr/>
          <w:p>
            <w:pPr>
              <w:pStyle w:val="Compact"/>
            </w:pPr>
            <w:r>
              <w:t xml:space="preserve">— (без газа)</w:t>
            </w:r>
          </w:p>
        </w:tc>
        <w:tc>
          <w:tcPr/>
          <w:p>
            <w:pPr>
              <w:pStyle w:val="Compact"/>
            </w:pPr>
            <w:r>
              <w:t xml:space="preserve">Cortec VpCI, Zerust ZCORR, Daubert — нефтегаз, военная техника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+ barrier</w:t>
            </w:r>
          </w:p>
        </w:tc>
        <w:tc>
          <w:tcPr/>
          <w:p>
            <w:pPr>
              <w:pStyle w:val="Compact"/>
            </w:pPr>
            <w:r>
              <w:t xml:space="preserve">Откачка воздуха + ламинат с фольгой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Mil-spec MIL-PRF-131K, медицинские стерильные упаковки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Гибридные системы</w:t>
            </w:r>
          </w:p>
        </w:tc>
        <w:tc>
          <w:tcPr/>
          <w:p>
            <w:pPr>
              <w:pStyle w:val="Compact"/>
            </w:pPr>
            <w:r>
              <w:t xml:space="preserve">Комбинация: газ + абсорбер + VCI + барьер</w:t>
            </w:r>
          </w:p>
        </w:tc>
        <w:tc>
          <w:tcPr/>
          <w:p>
            <w:pPr>
              <w:pStyle w:val="Compact"/>
            </w:pPr>
            <w:r>
              <w:t xml:space="preserve">N₂ или Ar</w:t>
            </w:r>
          </w:p>
        </w:tc>
        <w:tc>
          <w:tcPr/>
          <w:p>
            <w:pPr>
              <w:pStyle w:val="Compact"/>
            </w:pPr>
            <w:r>
              <w:t xml:space="preserve">Премиум-сегмент, единичные кейсы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Ниша Аслана = гибридная система</w:t>
      </w:r>
      <w:r>
        <w:t xml:space="preserve">, упакованная в стандартизованный продукт.</w:t>
      </w:r>
    </w:p>
    <w:p>
      <w:r>
        <w:pict>
          <v:rect style="width:0;height:1.5pt" o:hralign="center" o:hrstd="t" o:hr="t"/>
        </w:pict>
      </w:r>
    </w:p>
    <w:bookmarkEnd w:id="14"/>
    <w:bookmarkStart w:id="16" w:name="сравнение-инертных-газов"/>
    <w:p>
      <w:pPr>
        <w:pStyle w:val="Heading2"/>
      </w:pPr>
      <w:r>
        <w:t xml:space="preserve">3. Сравнение инертных газов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Газ</w:t>
            </w:r>
          </w:p>
        </w:tc>
        <w:tc>
          <w:tcPr/>
          <w:p>
            <w:pPr>
              <w:pStyle w:val="Compact"/>
            </w:pPr>
            <w:r>
              <w:t xml:space="preserve">Цена / м³ (опт)</w:t>
            </w:r>
          </w:p>
        </w:tc>
        <w:tc>
          <w:tcPr/>
          <w:p>
            <w:pPr>
              <w:pStyle w:val="Compact"/>
            </w:pPr>
            <w:r>
              <w:t xml:space="preserve">Плотность кг/м³</w:t>
            </w:r>
          </w:p>
        </w:tc>
        <w:tc>
          <w:tcPr/>
          <w:p>
            <w:pPr>
              <w:pStyle w:val="Compact"/>
            </w:pPr>
            <w:r>
              <w:t xml:space="preserve">Реакционная способность</w:t>
            </w:r>
          </w:p>
        </w:tc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Применимость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Азот (N₂)</w:t>
            </w:r>
          </w:p>
        </w:tc>
        <w:tc>
          <w:tcPr/>
          <w:p>
            <w:pPr>
              <w:pStyle w:val="Compact"/>
            </w:pPr>
            <w:r>
              <w:t xml:space="preserve">$0.10–0.50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Инертен в стандартных условиях; реагирует с Li, Mg, Ti при T&gt;800°C</w:t>
            </w:r>
          </w:p>
        </w:tc>
        <w:tc>
          <w:tcPr/>
          <w:p>
            <w:pPr>
              <w:pStyle w:val="Compact"/>
            </w:pPr>
            <w:r>
              <w:t xml:space="preserve">PSA / мембраны / ASU; on-site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 применений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Аргон (Ar)</w:t>
            </w:r>
          </w:p>
        </w:tc>
        <w:tc>
          <w:tcPr/>
          <w:p>
            <w:pPr>
              <w:pStyle w:val="Compact"/>
            </w:pPr>
            <w:r>
              <w:t xml:space="preserve">$1.50–15.00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Полностью инертен</w:t>
            </w:r>
          </w:p>
        </w:tc>
        <w:tc>
          <w:tcPr/>
          <w:p>
            <w:pPr>
              <w:pStyle w:val="Compact"/>
            </w:pPr>
            <w:r>
              <w:t xml:space="preserve">ASU воздухоразделения; криодоставка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Премиум-ниши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$0.20–0.60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Кислотный, реагирует с водой → H₂CO₃; растворяется в жирах</w:t>
            </w:r>
          </w:p>
        </w:tc>
        <w:tc>
          <w:tcPr/>
          <w:p>
            <w:pPr>
              <w:pStyle w:val="Compact"/>
            </w:pPr>
            <w:r>
              <w:t xml:space="preserve">Промышленный побочный продукт</w:t>
            </w:r>
          </w:p>
        </w:tc>
        <w:tc>
          <w:tcPr/>
          <w:p>
            <w:pPr>
              <w:pStyle w:val="Compact"/>
            </w:pPr>
            <w:r>
              <w:t xml:space="preserve">MAP мяса (бактериостатик), не для долгосрочного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Гелий (He)</w:t>
            </w:r>
          </w:p>
        </w:tc>
        <w:tc>
          <w:tcPr/>
          <w:p>
            <w:pPr>
              <w:pStyle w:val="Compact"/>
            </w:pPr>
            <w:r>
              <w:t xml:space="preserve">$30–60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Полностью инертен; легко утекает</w:t>
            </w:r>
          </w:p>
        </w:tc>
        <w:tc>
          <w:tcPr/>
          <w:p>
            <w:pPr>
              <w:pStyle w:val="Compact"/>
            </w:pPr>
            <w:r>
              <w:t xml:space="preserve">ASU + газовые месторождения</w:t>
            </w:r>
          </w:p>
        </w:tc>
        <w:tc>
          <w:tcPr/>
          <w:p>
            <w:pPr>
              <w:pStyle w:val="Compact"/>
            </w:pPr>
            <w:r>
              <w:t xml:space="preserve">Только для специфических задач (поиск утечек)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Криптон (Kr)</w:t>
            </w:r>
          </w:p>
        </w:tc>
        <w:tc>
          <w:tcPr/>
          <w:p>
            <w:pPr>
              <w:pStyle w:val="Compact"/>
            </w:pPr>
            <w:r>
              <w:t xml:space="preserve">$300–800</w:t>
            </w:r>
          </w:p>
        </w:tc>
        <w:tc>
          <w:tcPr/>
          <w:p>
            <w:pPr>
              <w:pStyle w:val="Compact"/>
            </w:pPr>
            <w:r>
              <w:t xml:space="preserve">3.74</w:t>
            </w:r>
          </w:p>
        </w:tc>
        <w:tc>
          <w:tcPr/>
          <w:p>
            <w:pPr>
              <w:pStyle w:val="Compact"/>
            </w:pPr>
            <w:r>
              <w:t xml:space="preserve">Полностью инертен</w:t>
            </w:r>
          </w:p>
        </w:tc>
        <w:tc>
          <w:tcPr/>
          <w:p>
            <w:pPr>
              <w:pStyle w:val="Compact"/>
            </w:pPr>
            <w:r>
              <w:t xml:space="preserve">ASU редкие фракции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Экономически невозможно</w:t>
            </w:r>
            <w:r>
              <w:t xml:space="preserve"> </w:t>
            </w:r>
            <w:r>
              <w:t xml:space="preserve">для упаковки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Ксенон (Xe)</w:t>
            </w:r>
          </w:p>
        </w:tc>
        <w:tc>
          <w:tcPr/>
          <w:p>
            <w:pPr>
              <w:pStyle w:val="Compact"/>
            </w:pPr>
            <w:r>
              <w:t xml:space="preserve">$5,000–15,000</w:t>
            </w:r>
          </w:p>
        </w:tc>
        <w:tc>
          <w:tcPr/>
          <w:p>
            <w:pPr>
              <w:pStyle w:val="Compact"/>
            </w:pPr>
            <w:r>
              <w:t xml:space="preserve">5.89</w:t>
            </w:r>
          </w:p>
        </w:tc>
        <w:tc>
          <w:tcPr/>
          <w:p>
            <w:pPr>
              <w:pStyle w:val="Compact"/>
            </w:pPr>
            <w:r>
              <w:t xml:space="preserve">Полностью инертен (биологически активен — анестетик)</w:t>
            </w:r>
          </w:p>
        </w:tc>
        <w:tc>
          <w:tcPr/>
          <w:p>
            <w:pPr>
              <w:pStyle w:val="Compact"/>
            </w:pPr>
            <w:r>
              <w:t xml:space="preserve">ASU редкие фракции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Экономически невозможно</w:t>
            </w:r>
          </w:p>
        </w:tc>
      </w:tr>
    </w:tbl>
    <w:bookmarkStart w:id="15" w:name="ключевой-вывод-по-газам"/>
    <w:p>
      <w:pPr>
        <w:pStyle w:val="Heading3"/>
      </w:pPr>
      <w:r>
        <w:t xml:space="preserve">Ключевой вывод по газам</w:t>
      </w:r>
    </w:p>
    <w:p>
      <w:pPr>
        <w:pStyle w:val="FirstParagraph"/>
      </w:pPr>
      <w:r>
        <w:rPr>
          <w:b/>
          <w:bCs/>
        </w:rPr>
        <w:t xml:space="preserve">Аргон оправдан только когда: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Стоимость единицы товара покрывает 10× премию</w:t>
      </w:r>
      <w:r>
        <w:t xml:space="preserve"> </w:t>
      </w:r>
      <w:r>
        <w:t xml:space="preserve">(вино $50–500/бутылка; коллекционное авто €1M+; музейный артефакт; ювелирка).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Молекулы крупнее → меньше утечки</w:t>
      </w:r>
      <w:r>
        <w:t xml:space="preserve"> </w:t>
      </w:r>
      <w:r>
        <w:t xml:space="preserve">через микропоры барьерного материала. Подтверждено выбором аргона для Декларации Независимости США (NIST «Preserving Founding Documents»).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Плотность газа выше воздуха</w:t>
      </w:r>
      <w:r>
        <w:t xml:space="preserve"> </w:t>
      </w:r>
      <w:r>
        <w:t xml:space="preserve">→ «затекает» в полости и вытесняет O₂ снизу (вино, оливковое масло — Coravin, Olive Oil Source).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Нужна абсолютная инертность</w:t>
      </w:r>
      <w:r>
        <w:t xml:space="preserve"> </w:t>
      </w:r>
      <w:r>
        <w:t xml:space="preserve">— литий-металл, ультрачистая электроника, активные металлы при высокой T.</w:t>
      </w:r>
    </w:p>
    <w:p>
      <w:pPr>
        <w:pStyle w:val="BodyText"/>
      </w:pPr>
      <w:r>
        <w:rPr>
          <w:b/>
          <w:bCs/>
        </w:rPr>
        <w:t xml:space="preserve">Во всех остальных случаях — азот.</w:t>
      </w:r>
      <w:r>
        <w:t xml:space="preserve"> </w:t>
      </w:r>
      <w:r>
        <w:t xml:space="preserve">Получают on-site PSA-генератором, $0.4–1.0/CCF.</w:t>
      </w:r>
    </w:p>
    <w:p>
      <w:pPr>
        <w:pStyle w:val="BodyText"/>
      </w:pPr>
      <w:r>
        <w:rPr>
          <w:b/>
          <w:bCs/>
        </w:rPr>
        <w:t xml:space="preserve">Ксенон и криптон убираем из продуктовой линейки</w:t>
      </w:r>
      <w:r>
        <w:t xml:space="preserve"> </w:t>
      </w:r>
      <w:r>
        <w:t xml:space="preserve">— экономика не сходится никогда.</w:t>
      </w:r>
    </w:p>
    <w:p>
      <w:pPr>
        <w:pStyle w:val="BodyText"/>
      </w:pPr>
      <w:r>
        <w:t xml:space="preserve">Источники:</w:t>
      </w:r>
      <w:r>
        <w:t xml:space="preserve"> </w:t>
      </w:r>
      <w:r>
        <w:t xml:space="preserve">- Coravin «Why Argon Gas Is the Best Wine Preserver» — премиум-кейс.</w:t>
      </w:r>
      <w:r>
        <w:t xml:space="preserve"> </w:t>
      </w:r>
      <w:r>
        <w:t xml:space="preserve">- Manufacturing.net «Nitrogen Blanketing of Edible Oils» — экономика N₂.</w:t>
      </w:r>
      <w:r>
        <w:t xml:space="preserve"> </w:t>
      </w:r>
      <w:r>
        <w:t xml:space="preserve">- Ossila «Argon vs Nitrogen Glove Box» — сравнительный анализ.</w:t>
      </w:r>
      <w:r>
        <w:t xml:space="preserve"> </w:t>
      </w:r>
      <w:r>
        <w:t xml:space="preserve">- NIST «Preserving Founding Documents» — выбор Ar для Декларации.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барьерные-материалы-и-толщины"/>
    <w:p>
      <w:pPr>
        <w:pStyle w:val="Heading2"/>
      </w:pPr>
      <w:r>
        <w:t xml:space="preserve">4. Барьерные материалы и толщины</w:t>
      </w:r>
    </w:p>
    <w:bookmarkStart w:id="17" w:name="Xe62507c1d9b5d4ccb9123d726287d6e8893b614"/>
    <w:p>
      <w:pPr>
        <w:pStyle w:val="Heading3"/>
      </w:pPr>
      <w:r>
        <w:t xml:space="preserve">4.1 Кислородопроницаемость (OTR) — главный параметр</w:t>
      </w:r>
    </w:p>
    <w:p>
      <w:pPr>
        <w:pStyle w:val="FirstParagraph"/>
      </w:pPr>
      <w:r>
        <w:t xml:space="preserve">OTR (Oxygen Transmission Rate) измеряется в см³ O₂ / (м² · сутки · атм) при 23°C, 0% RH (ASTM D3985, ISO 15105).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OTR (см³/м²·день)</w:t>
            </w:r>
          </w:p>
        </w:tc>
        <w:tc>
          <w:tcPr/>
          <w:p>
            <w:pPr>
              <w:pStyle w:val="Compact"/>
            </w:pPr>
            <w:r>
              <w:t xml:space="preserve">Толщина</w:t>
            </w:r>
          </w:p>
        </w:tc>
        <w:tc>
          <w:tcPr/>
          <w:p>
            <w:pPr>
              <w:pStyle w:val="Compact"/>
            </w:pPr>
            <w:r>
              <w:t xml:space="preserve">Срок «насыщения O₂ до 1%» (для пакета 1 м³)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LDPE (обычный пакет)</w:t>
            </w:r>
          </w:p>
        </w:tc>
        <w:tc>
          <w:tcPr/>
          <w:p>
            <w:pPr>
              <w:pStyle w:val="Compact"/>
            </w:pPr>
            <w:r>
              <w:t xml:space="preserve">7800</w:t>
            </w:r>
          </w:p>
        </w:tc>
        <w:tc>
          <w:tcPr/>
          <w:p>
            <w:pPr>
              <w:pStyle w:val="Compact"/>
            </w:pPr>
            <w:r>
              <w:t xml:space="preserve">50 мкм</w:t>
            </w:r>
          </w:p>
        </w:tc>
        <w:tc>
          <w:tcPr/>
          <w:p>
            <w:pPr>
              <w:pStyle w:val="Compact"/>
            </w:pPr>
            <w:r>
              <w:t xml:space="preserve">&lt;1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HDPE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100 мкм</w:t>
            </w:r>
          </w:p>
        </w:tc>
        <w:tc>
          <w:tcPr/>
          <w:p>
            <w:pPr>
              <w:pStyle w:val="Compact"/>
            </w:pPr>
            <w:r>
              <w:t xml:space="preserve">~5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PA6 (полиамид)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100 мкм</w:t>
            </w:r>
          </w:p>
        </w:tc>
        <w:tc>
          <w:tcPr/>
          <w:p>
            <w:pPr>
              <w:pStyle w:val="Compact"/>
            </w:pPr>
            <w:r>
              <w:t xml:space="preserve">~6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 мкм</w:t>
            </w:r>
          </w:p>
        </w:tc>
        <w:tc>
          <w:tcPr/>
          <w:p>
            <w:pPr>
              <w:pStyle w:val="Compact"/>
            </w:pPr>
            <w:r>
              <w:t xml:space="preserve">~5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EVOH (32% ethylene)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30 мкм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 лет</w:t>
            </w:r>
            <w:r>
              <w:t xml:space="preserve"> </w:t>
            </w:r>
            <w:r>
              <w:t xml:space="preserve">(но боится влаги!)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Aluminized PET</w:t>
            </w:r>
            <w:r>
              <w:t xml:space="preserve"> </w:t>
            </w:r>
            <w:r>
              <w:t xml:space="preserve">(Met-PET)</w:t>
            </w:r>
          </w:p>
        </w:tc>
        <w:tc>
          <w:tcPr/>
          <w:p>
            <w:pPr>
              <w:pStyle w:val="Compact"/>
            </w:pPr>
            <w:r>
              <w:t xml:space="preserve">0.5–2</w:t>
            </w:r>
          </w:p>
        </w:tc>
        <w:tc>
          <w:tcPr/>
          <w:p>
            <w:pPr>
              <w:pStyle w:val="Compact"/>
            </w:pPr>
            <w:r>
              <w:t xml:space="preserve">100 мкм</w:t>
            </w:r>
          </w:p>
        </w:tc>
        <w:tc>
          <w:tcPr/>
          <w:p>
            <w:pPr>
              <w:pStyle w:val="Compact"/>
            </w:pPr>
            <w:r>
              <w:t xml:space="preserve">~10–40 лет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Foil laminate</w:t>
            </w:r>
            <w:r>
              <w:t xml:space="preserve"> </w:t>
            </w:r>
            <w:r>
              <w:t xml:space="preserve">(PET/Al-foil/LLDPE)</w:t>
            </w:r>
          </w:p>
        </w:tc>
        <w:tc>
          <w:tcPr/>
          <w:p>
            <w:pPr>
              <w:pStyle w:val="Compact"/>
            </w:pPr>
            <w:r>
              <w:t xml:space="preserve">&lt;0.05</w:t>
            </w:r>
          </w:p>
        </w:tc>
        <w:tc>
          <w:tcPr/>
          <w:p>
            <w:pPr>
              <w:pStyle w:val="Compact"/>
            </w:pPr>
            <w:r>
              <w:t xml:space="preserve">125–190 мкм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&gt;200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Стекло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бесконечность</w:t>
            </w:r>
          </w:p>
        </w:tc>
      </w:tr>
    </w:tbl>
    <w:bookmarkEnd w:id="17"/>
    <w:bookmarkStart w:id="19" w:name="реальные-стандарты-и-материалы"/>
    <w:p>
      <w:pPr>
        <w:pStyle w:val="Heading3"/>
      </w:pPr>
      <w:r>
        <w:t xml:space="preserve">4.2 Реальные стандарты и материалы</w:t>
      </w:r>
    </w:p>
    <w:p>
      <w:pPr>
        <w:pStyle w:val="FirstParagraph"/>
      </w:pPr>
      <w:r>
        <w:rPr>
          <w:b/>
          <w:bCs/>
        </w:rPr>
        <w:t xml:space="preserve">MIL-PRF-131K</w:t>
      </w:r>
      <w:r>
        <w:t xml:space="preserve"> </w:t>
      </w:r>
      <w:r>
        <w:t xml:space="preserve">(Mil-spec barrier material для long-term storage):</w:t>
      </w:r>
      <w:r>
        <w:t xml:space="preserve"> </w:t>
      </w:r>
      <w:r>
        <w:t xml:space="preserve">- Структура: PET / Al-foil / LLDPE</w:t>
      </w:r>
      <w:r>
        <w:t xml:space="preserve"> </w:t>
      </w:r>
      <w:r>
        <w:t xml:space="preserve">- Толщина: 0.0048″–0.0075″ (~120–190 мкм)</w:t>
      </w:r>
      <w:r>
        <w:t xml:space="preserve"> </w:t>
      </w:r>
      <w:r>
        <w:t xml:space="preserve">- OTR: &lt;0.05 см³/м²·день</w:t>
      </w:r>
      <w:r>
        <w:t xml:space="preserve"> </w:t>
      </w:r>
      <w:r>
        <w:t xml:space="preserve">- Срок хранения: до 25 лет с десикантом</w:t>
      </w:r>
      <w:r>
        <w:t xml:space="preserve"> </w:t>
      </w:r>
      <w:r>
        <w:t xml:space="preserve">- Источник:</w:t>
      </w:r>
      <w:r>
        <w:t xml:space="preserve"> </w:t>
      </w:r>
      <w:hyperlink r:id="rId18">
        <w:r>
          <w:rPr>
            <w:rStyle w:val="Hyperlink"/>
          </w:rPr>
          <w:t xml:space="preserve">3D Barrier Bags MIL-PRF-131</w:t>
        </w:r>
      </w:hyperlink>
    </w:p>
    <w:p>
      <w:pPr>
        <w:pStyle w:val="BodyText"/>
      </w:pPr>
      <w:r>
        <w:rPr>
          <w:b/>
          <w:bCs/>
        </w:rPr>
        <w:t xml:space="preserve">MIL-PRF-22191 Type I</w:t>
      </w:r>
      <w:r>
        <w:t xml:space="preserve"> </w:t>
      </w:r>
      <w:r>
        <w:t xml:space="preserve">(transparent barrier):</w:t>
      </w:r>
      <w:r>
        <w:t xml:space="preserve"> </w:t>
      </w:r>
      <w:r>
        <w:t xml:space="preserve">- Структура: PVDC-coated PET или EVOH-coated multilayer</w:t>
      </w:r>
      <w:r>
        <w:t xml:space="preserve"> </w:t>
      </w:r>
      <w:r>
        <w:t xml:space="preserve">- Толщина: ~100 мкм</w:t>
      </w:r>
      <w:r>
        <w:t xml:space="preserve"> </w:t>
      </w:r>
      <w:r>
        <w:t xml:space="preserve">- OTR: 0.5–2.0 см³/м²·день</w:t>
      </w:r>
      <w:r>
        <w:t xml:space="preserve"> </w:t>
      </w:r>
      <w:r>
        <w:t xml:space="preserve">- Используется когда нужна визуальная инспекция</w:t>
      </w:r>
    </w:p>
    <w:p>
      <w:pPr>
        <w:pStyle w:val="BodyText"/>
      </w:pPr>
      <w:r>
        <w:rPr>
          <w:b/>
          <w:bCs/>
        </w:rPr>
        <w:t xml:space="preserve">MIL-PRF-81705F Type I</w:t>
      </w:r>
      <w:r>
        <w:t xml:space="preserve"> </w:t>
      </w:r>
      <w:r>
        <w:t xml:space="preserve">(электроника, ESD + влаго-барьер):</w:t>
      </w:r>
      <w:r>
        <w:t xml:space="preserve"> </w:t>
      </w:r>
      <w:r>
        <w:t xml:space="preserve">- Структура: Met-PET / PE / Foil / ESD-sealant</w:t>
      </w:r>
      <w:r>
        <w:t xml:space="preserve"> </w:t>
      </w:r>
      <w:r>
        <w:t xml:space="preserve">- Применение: ракетные системы, чувствительные к влаге сборки</w:t>
      </w:r>
    </w:p>
    <w:p>
      <w:pPr>
        <w:pStyle w:val="BodyText"/>
      </w:pPr>
      <w:r>
        <w:rPr>
          <w:b/>
          <w:bCs/>
        </w:rPr>
        <w:t xml:space="preserve">ГОСТ В 9.014-78</w:t>
      </w:r>
      <w:r>
        <w:t xml:space="preserve"> </w:t>
      </w:r>
      <w:r>
        <w:t xml:space="preserve">(РФ — консервация военной техники):</w:t>
      </w:r>
      <w:r>
        <w:t xml:space="preserve"> </w:t>
      </w:r>
      <w:r>
        <w:t xml:space="preserve">- Варианты защиты ВЗ-10/14/15/16: «защитная среда инертным газом — азотом по ГОСТ 9293-74»</w:t>
      </w:r>
      <w:r>
        <w:t xml:space="preserve"> </w:t>
      </w:r>
      <w:r>
        <w:t xml:space="preserve">- Требования к среде: точка росы ≤228 K (−45 °C), O₂ ≤0.05% об.</w:t>
      </w:r>
      <w:r>
        <w:t xml:space="preserve"> </w:t>
      </w:r>
      <w:r>
        <w:t xml:space="preserve">- Внутренняя упаковка ВУ-5: герметичный полимерный/металлизированный чехол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Аргон в ГОСТ В 9.014 не упомянут</w:t>
      </w:r>
      <w:r>
        <w:t xml:space="preserve"> </w:t>
      </w:r>
      <w:r>
        <w:t xml:space="preserve">— только азот</w:t>
      </w:r>
    </w:p>
    <w:p>
      <w:pPr>
        <w:pStyle w:val="BodyText"/>
      </w:pPr>
      <w:r>
        <w:rPr>
          <w:b/>
          <w:bCs/>
        </w:rPr>
        <w:t xml:space="preserve">Mylar (PET-laminate) для long-term food storage:</w:t>
      </w:r>
      <w:r>
        <w:t xml:space="preserve"> </w:t>
      </w:r>
      <w:r>
        <w:t xml:space="preserve">- Толщина: 5–7 mil (≈125–175 мкм)</w:t>
      </w:r>
      <w:r>
        <w:t xml:space="preserve"> </w:t>
      </w:r>
      <w:r>
        <w:t xml:space="preserve">- Производители: Sorbent Systems / IMPAK (PAKVF4C), Wallaby, Augason Farms</w:t>
      </w:r>
      <w:r>
        <w:t xml:space="preserve"> </w:t>
      </w:r>
      <w:r>
        <w:t xml:space="preserve">- OTR: 0.05–0.5 см³/м²·день</w:t>
      </w:r>
      <w:r>
        <w:t xml:space="preserve"> </w:t>
      </w:r>
      <w:r>
        <w:t xml:space="preserve">- Срок хранения белого риса: 30 лет (с O₂-абсорберами)</w:t>
      </w:r>
    </w:p>
    <w:p>
      <w:pPr>
        <w:pStyle w:val="BodyText"/>
      </w:pPr>
      <w:r>
        <w:rPr>
          <w:b/>
          <w:bCs/>
        </w:rPr>
        <w:t xml:space="preserve">Фарма-блистеры:</w:t>
      </w:r>
      <w:r>
        <w:t xml:space="preserve"> </w:t>
      </w:r>
      <w:r>
        <w:t xml:space="preserve">- PVC: 250 мкм базис</w:t>
      </w:r>
      <w:r>
        <w:t xml:space="preserve"> </w:t>
      </w:r>
      <w:r>
        <w:t xml:space="preserve">- PVC + PVDC (60–120 г/м²) — средний барьер</w:t>
      </w:r>
      <w:r>
        <w:t xml:space="preserve"> </w:t>
      </w:r>
      <w:r>
        <w:t xml:space="preserve">- PVC + Aclar (PCTFE 15–51 мкм) — высокий барьер</w:t>
      </w:r>
      <w:r>
        <w:t xml:space="preserve"> </w:t>
      </w:r>
      <w:r>
        <w:t xml:space="preserve">- Alu/Alu (OPA-Alu-PVC) — максимальный барьер</w:t>
      </w:r>
    </w:p>
    <w:bookmarkEnd w:id="19"/>
    <w:bookmarkStart w:id="20" w:name="рекомендация-по-толщинам-для-проекта"/>
    <w:p>
      <w:pPr>
        <w:pStyle w:val="Heading3"/>
      </w:pPr>
      <w:r>
        <w:t xml:space="preserve">4.3 Рекомендация по толщинам для проекта</w:t>
      </w:r>
    </w:p>
    <w:p>
      <w:pPr>
        <w:pStyle w:val="FirstParagraph"/>
      </w:pPr>
      <w:r>
        <w:rPr>
          <w:b/>
          <w:bCs/>
        </w:rPr>
        <w:t xml:space="preserve">Критическая ошибка исходного реферата ChatGPT:</w:t>
      </w:r>
      <w:r>
        <w:t xml:space="preserve"> </w:t>
      </w:r>
      <w:r>
        <w:t xml:space="preserve">В таблице предложены толщины 50–150 мкм голого ПЭТ/ПА. Для долговременного (10+ лет) хранения этого</w:t>
      </w:r>
      <w:r>
        <w:t xml:space="preserve"> </w:t>
      </w:r>
      <w:r>
        <w:rPr>
          <w:b/>
          <w:bCs/>
        </w:rPr>
        <w:t xml:space="preserve">недостаточно</w:t>
      </w:r>
      <w:r>
        <w:t xml:space="preserve"> </w:t>
      </w:r>
      <w:r>
        <w:t xml:space="preserve">— O₂ просочится за 2–5 лет.</w:t>
      </w:r>
    </w:p>
    <w:p>
      <w:pPr>
        <w:pStyle w:val="BodyText"/>
      </w:pPr>
      <w:r>
        <w:rPr>
          <w:b/>
          <w:bCs/>
        </w:rPr>
        <w:t xml:space="preserve">Реальная рекомендация: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Срок хранения</w:t>
            </w:r>
          </w:p>
        </w:tc>
        <w:tc>
          <w:tcPr/>
          <w:p>
            <w:pPr>
              <w:pStyle w:val="Compact"/>
            </w:pPr>
            <w:r>
              <w:t xml:space="preserve">Минимальная конструкция</w:t>
            </w:r>
          </w:p>
        </w:tc>
        <w:tc>
          <w:tcPr/>
          <w:p>
            <w:pPr>
              <w:pStyle w:val="Compact"/>
            </w:pPr>
            <w:r>
              <w:t xml:space="preserve">Толщина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года</w:t>
            </w:r>
          </w:p>
        </w:tc>
        <w:tc>
          <w:tcPr/>
          <w:p>
            <w:pPr>
              <w:pStyle w:val="Compact"/>
            </w:pPr>
            <w:r>
              <w:t xml:space="preserve">Met-PET + PE</w:t>
            </w:r>
          </w:p>
        </w:tc>
        <w:tc>
          <w:tcPr/>
          <w:p>
            <w:pPr>
              <w:pStyle w:val="Compact"/>
            </w:pPr>
            <w:r>
              <w:t xml:space="preserve">80–100 мкм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5–10 лет</w:t>
            </w:r>
          </w:p>
        </w:tc>
        <w:tc>
          <w:tcPr/>
          <w:p>
            <w:pPr>
              <w:pStyle w:val="Compact"/>
            </w:pPr>
            <w:r>
              <w:t xml:space="preserve">Met-PET / PE / Foil-laminate</w:t>
            </w:r>
          </w:p>
        </w:tc>
        <w:tc>
          <w:tcPr/>
          <w:p>
            <w:pPr>
              <w:pStyle w:val="Compact"/>
            </w:pPr>
            <w:r>
              <w:t xml:space="preserve">100–150 мкм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10–25 лет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 / Al-foil / LLDPE (mil-spec)</w:t>
            </w:r>
          </w:p>
        </w:tc>
        <w:tc>
          <w:tcPr/>
          <w:p>
            <w:pPr>
              <w:pStyle w:val="Compact"/>
            </w:pPr>
            <w:r>
              <w:t xml:space="preserve">125–190 мкм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25–50 лет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 / Al-foil / LLDPE + жёсткая капсула</w:t>
            </w:r>
            <w:r>
              <w:t xml:space="preserve"> </w:t>
            </w:r>
            <w:r>
              <w:t xml:space="preserve">(стекло/титан/композит)</w:t>
            </w:r>
          </w:p>
        </w:tc>
        <w:tc>
          <w:tcPr/>
          <w:p>
            <w:pPr>
              <w:pStyle w:val="Compact"/>
            </w:pPr>
            <w:r>
              <w:t xml:space="preserve">200+ мкм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50–200 лет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Стеклянная/титановая капсула с аргоном</w:t>
            </w:r>
            <w:r>
              <w:t xml:space="preserve"> </w:t>
            </w:r>
            <w:r>
              <w:t xml:space="preserve">(Декларация Независимости)</w:t>
            </w:r>
          </w:p>
        </w:tc>
        <w:tc>
          <w:tcPr/>
          <w:p>
            <w:pPr>
              <w:pStyle w:val="Compact"/>
            </w:pPr>
            <w:r>
              <w:t xml:space="preserve">стекло + 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8" w:name="кислород-абсорберы"/>
    <w:p>
      <w:pPr>
        <w:pStyle w:val="Heading2"/>
      </w:pPr>
      <w:r>
        <w:t xml:space="preserve">5. Кислород-абсорберы</w:t>
      </w:r>
    </w:p>
    <w:p>
      <w:pPr>
        <w:pStyle w:val="FirstParagraph"/>
      </w:pPr>
      <w:r>
        <w:t xml:space="preserve">Ключевая инновация Mitsubishi Gas Chemical:</w:t>
      </w:r>
      <w:r>
        <w:t xml:space="preserve"> </w:t>
      </w:r>
      <w:r>
        <w:rPr>
          <w:b/>
          <w:bCs/>
        </w:rPr>
        <w:t xml:space="preserve">iron-based и organic-based oxygen scavengers</w:t>
      </w:r>
      <w:r>
        <w:t xml:space="preserve">, химически связывающие остаточный O₂ внутри упаковки.</w:t>
      </w:r>
    </w:p>
    <w:bookmarkStart w:id="25" w:name="линейка-mitsubishi"/>
    <w:p>
      <w:pPr>
        <w:pStyle w:val="Heading3"/>
      </w:pPr>
      <w:r>
        <w:t xml:space="preserve">5.1 Линейка Mitsubishi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O₂-ёмкость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Ageless Z</w:t>
            </w:r>
          </w:p>
        </w:tc>
        <w:tc>
          <w:tcPr/>
          <w:p>
            <w:pPr>
              <w:pStyle w:val="Compact"/>
            </w:pPr>
            <w:r>
              <w:t xml:space="preserve">Iron-based, влажный режим</w:t>
            </w:r>
          </w:p>
        </w:tc>
        <w:tc>
          <w:tcPr/>
          <w:p>
            <w:pPr>
              <w:pStyle w:val="Compact"/>
            </w:pPr>
            <w:r>
              <w:t xml:space="preserve">100 cc/sachet и больше</w:t>
            </w:r>
          </w:p>
        </w:tc>
        <w:tc>
          <w:tcPr/>
          <w:p>
            <w:pPr>
              <w:pStyle w:val="Compact"/>
            </w:pPr>
            <w:r>
              <w:t xml:space="preserve">Пища, БАД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Ageless ZP</w:t>
            </w:r>
          </w:p>
        </w:tc>
        <w:tc>
          <w:tcPr/>
          <w:p>
            <w:pPr>
              <w:pStyle w:val="Compact"/>
            </w:pPr>
            <w:r>
              <w:t xml:space="preserve">Iron-based, сухой режим</w:t>
            </w:r>
          </w:p>
        </w:tc>
        <w:tc>
          <w:tcPr/>
          <w:p>
            <w:pPr>
              <w:pStyle w:val="Compact"/>
            </w:pPr>
            <w:r>
              <w:t xml:space="preserve">100–500 cc</w:t>
            </w:r>
          </w:p>
        </w:tc>
        <w:tc>
          <w:tcPr/>
          <w:p>
            <w:pPr>
              <w:pStyle w:val="Compact"/>
            </w:pPr>
            <w:r>
              <w:t xml:space="preserve">Сухие продукты, орехи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Ageless OMAC</w:t>
            </w:r>
          </w:p>
        </w:tc>
        <w:tc>
          <w:tcPr/>
          <w:p>
            <w:pPr>
              <w:pStyle w:val="Compact"/>
            </w:pPr>
            <w:r>
              <w:t xml:space="preserve">Organic</w:t>
            </w:r>
          </w:p>
        </w:tc>
        <w:tc>
          <w:tcPr/>
          <w:p>
            <w:pPr>
              <w:pStyle w:val="Compact"/>
            </w:pPr>
            <w:r>
              <w:t xml:space="preserve">50–200 cc</w:t>
            </w:r>
          </w:p>
        </w:tc>
        <w:tc>
          <w:tcPr/>
          <w:p>
            <w:pPr>
              <w:pStyle w:val="Compact"/>
            </w:pPr>
            <w:r>
              <w:t xml:space="preserve">Электроника (без металлической пыли)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System Type AN</w:t>
            </w:r>
          </w:p>
        </w:tc>
        <w:tc>
          <w:tcPr/>
          <w:p>
            <w:pPr>
              <w:pStyle w:val="Compact"/>
            </w:pPr>
            <w:r>
              <w:t xml:space="preserve">Iron-based + влагопоглотитель</w:t>
            </w:r>
          </w:p>
        </w:tc>
        <w:tc>
          <w:tcPr/>
          <w:p>
            <w:pPr>
              <w:pStyle w:val="Compact"/>
            </w:pPr>
            <w:r>
              <w:t xml:space="preserve">100 cc</w:t>
            </w:r>
          </w:p>
        </w:tc>
        <w:tc>
          <w:tcPr/>
          <w:p>
            <w:pPr>
              <w:pStyle w:val="Compact"/>
            </w:pPr>
            <w:r>
              <w:t xml:space="preserve">Музейные артефакты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System Type K</w:t>
            </w:r>
          </w:p>
        </w:tc>
        <w:tc>
          <w:tcPr/>
          <w:p>
            <w:pPr>
              <w:pStyle w:val="Compact"/>
            </w:pPr>
            <w:r>
              <w:t xml:space="preserve">Iron-based, сухой</w:t>
            </w:r>
          </w:p>
        </w:tc>
        <w:tc>
          <w:tcPr/>
          <w:p>
            <w:pPr>
              <w:pStyle w:val="Compact"/>
            </w:pPr>
            <w:r>
              <w:t xml:space="preserve">100 cc</w:t>
            </w:r>
          </w:p>
        </w:tc>
        <w:tc>
          <w:tcPr/>
          <w:p>
            <w:pPr>
              <w:pStyle w:val="Compact"/>
            </w:pPr>
            <w:r>
              <w:t xml:space="preserve">Сухая среда, металлы, документы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Pharmakeep</w:t>
            </w:r>
          </w:p>
        </w:tc>
        <w:tc>
          <w:tcPr/>
          <w:p>
            <w:pPr>
              <w:pStyle w:val="Compact"/>
            </w:pPr>
            <w:r>
              <w:t xml:space="preserve">Organic</w:t>
            </w:r>
          </w:p>
        </w:tc>
        <w:tc>
          <w:tcPr/>
          <w:p>
            <w:pPr>
              <w:pStyle w:val="Compact"/>
            </w:pPr>
            <w:r>
              <w:t xml:space="preserve">5–100 cc</w:t>
            </w:r>
          </w:p>
        </w:tc>
        <w:tc>
          <w:tcPr/>
          <w:p>
            <w:pPr>
              <w:pStyle w:val="Compact"/>
            </w:pPr>
            <w:r>
              <w:t xml:space="preserve">Фармацевтические таблетки, капсулы</w:t>
            </w:r>
          </w:p>
        </w:tc>
      </w:tr>
    </w:tbl>
    <w:p>
      <w:pPr>
        <w:pStyle w:val="BodyText"/>
      </w:pPr>
      <w:r>
        <w:t xml:space="preserve">Источник:</w:t>
      </w:r>
      <w:r>
        <w:t xml:space="preserve"> </w:t>
      </w:r>
      <w:hyperlink r:id="rId22">
        <w:r>
          <w:rPr>
            <w:rStyle w:val="Hyperlink"/>
          </w:rPr>
          <w:t xml:space="preserve">Mitsubishi Gas Chemical — Ageless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Pharmakeep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Conservation Support Systems — RP System</w:t>
        </w:r>
      </w:hyperlink>
      <w:r>
        <w:t xml:space="preserve">.</w:t>
      </w:r>
    </w:p>
    <w:bookmarkEnd w:id="25"/>
    <w:bookmarkStart w:id="26" w:name="расчёт-количества-абсорбера"/>
    <w:p>
      <w:pPr>
        <w:pStyle w:val="Heading3"/>
      </w:pPr>
      <w:r>
        <w:t xml:space="preserve">5.2 Расчёт количества абсорбера</w:t>
      </w:r>
    </w:p>
    <w:p>
      <w:pPr>
        <w:pStyle w:val="FirstParagraph"/>
      </w:pPr>
      <w:r>
        <w:t xml:space="preserve">Для герметичного пакета объёмом V (литров) с воздухом, содержащим 21% O₂:</w:t>
      </w:r>
      <w:r>
        <w:t xml:space="preserve"> </w:t>
      </w:r>
      <w:r>
        <w:t xml:space="preserve">- Количество O₂ = 0.21 × V × 1000 см³</w:t>
      </w:r>
      <w:r>
        <w:t xml:space="preserve"> </w:t>
      </w:r>
      <w:r>
        <w:t xml:space="preserve">- Например, V = 1 м³ → ~210,000 см³ O₂ → нужно 2100 cc абсорбер-ёмкости (≈21 сашé по 100 cc)</w:t>
      </w:r>
    </w:p>
    <w:p>
      <w:pPr>
        <w:pStyle w:val="BodyText"/>
      </w:pPr>
      <w:r>
        <w:rPr>
          <w:b/>
          <w:bCs/>
        </w:rPr>
        <w:t xml:space="preserve">В капсуле для авто (V ≈ 6 м³):</w:t>
      </w:r>
      <w:r>
        <w:t xml:space="preserve"> </w:t>
      </w:r>
      <w:r>
        <w:t xml:space="preserve">при газовом продуве N₂ остаточный O₂ ~1% = 60,000 см³ O₂ → достаточно 6 сашé Ageless Z 100 cc как страховки.</w:t>
      </w:r>
    </w:p>
    <w:bookmarkEnd w:id="26"/>
    <w:bookmarkStart w:id="27" w:name="ключевой-принцип-проекта"/>
    <w:p>
      <w:pPr>
        <w:pStyle w:val="Heading3"/>
      </w:pPr>
      <w:r>
        <w:t xml:space="preserve">5.3 Ключевой принцип проекта</w:t>
      </w:r>
    </w:p>
    <w:p>
      <w:pPr>
        <w:pStyle w:val="BlockText"/>
      </w:pPr>
      <w:r>
        <w:rPr>
          <w:b/>
          <w:bCs/>
        </w:rPr>
        <w:t xml:space="preserve">Газовый продув + кислород-абсорбер = двойная защита.</w:t>
      </w:r>
      <w:r>
        <w:t xml:space="preserve"> </w:t>
      </w:r>
      <w:r>
        <w:t xml:space="preserve">Газ выдавливает 99% воздуха, абсорбер связывает оставшееся.</w:t>
      </w:r>
      <w:r>
        <w:t xml:space="preserve"> </w:t>
      </w:r>
      <w:r>
        <w:t xml:space="preserve">Без абсорбера любая микроутечка через 6–12 месяцев превращает капсулу в обычный пакет.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ot-мониторинг-свободная-ниша"/>
    <w:p>
      <w:pPr>
        <w:pStyle w:val="Heading2"/>
      </w:pPr>
      <w:r>
        <w:t xml:space="preserve">6. IoT-мониторинг (свободная ниша)</w:t>
      </w:r>
    </w:p>
    <w:p>
      <w:pPr>
        <w:pStyle w:val="FirstParagraph"/>
      </w:pPr>
      <w:r>
        <w:t xml:space="preserve">В существующих решениях нет встроенного датчика остаточного O₂ и герметичности. Это</w:t>
      </w:r>
      <w:r>
        <w:t xml:space="preserve"> </w:t>
      </w:r>
      <w:r>
        <w:rPr>
          <w:b/>
          <w:bCs/>
        </w:rPr>
        <w:t xml:space="preserve">вторая патентная зона</w:t>
      </w:r>
      <w:r>
        <w:t xml:space="preserve"> </w:t>
      </w:r>
      <w:r>
        <w:t xml:space="preserve">для проекта.</w:t>
      </w:r>
    </w:p>
    <w:bookmarkStart w:id="29" w:name="доступные-сенсоры"/>
    <w:p>
      <w:pPr>
        <w:pStyle w:val="Heading3"/>
      </w:pPr>
      <w:r>
        <w:t xml:space="preserve">6.1 Доступные сенсоры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Цена за датчик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O₂ residual</w:t>
            </w:r>
          </w:p>
        </w:tc>
        <w:tc>
          <w:tcPr/>
          <w:p>
            <w:pPr>
              <w:pStyle w:val="Compact"/>
            </w:pPr>
            <w:r>
              <w:t xml:space="preserve">Электрохимический (City Tech, Honeywell)</w:t>
            </w:r>
          </w:p>
        </w:tc>
        <w:tc>
          <w:tcPr/>
          <w:p>
            <w:pPr>
              <w:pStyle w:val="Compact"/>
            </w:pPr>
            <w:r>
              <w:t xml:space="preserve">0–25% O₂, точность ±0.1%</w:t>
            </w:r>
          </w:p>
        </w:tc>
        <w:tc>
          <w:tcPr/>
          <w:p>
            <w:pPr>
              <w:pStyle w:val="Compact"/>
            </w:pPr>
            <w:r>
              <w:t xml:space="preserve">$30–80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O₂ residual (low-cost)</w:t>
            </w:r>
          </w:p>
        </w:tc>
        <w:tc>
          <w:tcPr/>
          <w:p>
            <w:pPr>
              <w:pStyle w:val="Compact"/>
            </w:pPr>
            <w:r>
              <w:t xml:space="preserve">Optical fluorescence</w:t>
            </w:r>
          </w:p>
        </w:tc>
        <w:tc>
          <w:tcPr/>
          <w:p>
            <w:pPr>
              <w:pStyle w:val="Compact"/>
            </w:pPr>
            <w:r>
              <w:t xml:space="preserve">0–1% O₂, точность ±0.05%</w:t>
            </w:r>
          </w:p>
        </w:tc>
        <w:tc>
          <w:tcPr/>
          <w:p>
            <w:pPr>
              <w:pStyle w:val="Compact"/>
            </w:pPr>
            <w:r>
              <w:t xml:space="preserve">$200–500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Влажность RH</w:t>
            </w:r>
          </w:p>
        </w:tc>
        <w:tc>
          <w:tcPr/>
          <w:p>
            <w:pPr>
              <w:pStyle w:val="Compact"/>
            </w:pPr>
            <w:r>
              <w:t xml:space="preserve">Capacitive (Sensirion SHT4x, Bosch BME280)</w:t>
            </w:r>
          </w:p>
        </w:tc>
        <w:tc>
          <w:tcPr/>
          <w:p>
            <w:pPr>
              <w:pStyle w:val="Compact"/>
            </w:pPr>
            <w:r>
              <w:t xml:space="preserve">0–100% RH</w:t>
            </w:r>
          </w:p>
        </w:tc>
        <w:tc>
          <w:tcPr/>
          <w:p>
            <w:pPr>
              <w:pStyle w:val="Compact"/>
            </w:pPr>
            <w:r>
              <w:t xml:space="preserve">$5–15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Утечка / давление</w:t>
            </w:r>
          </w:p>
        </w:tc>
        <w:tc>
          <w:tcPr/>
          <w:p>
            <w:pPr>
              <w:pStyle w:val="Compact"/>
            </w:pPr>
            <w:r>
              <w:t xml:space="preserve">MEMS pressure (Bosch BMP388)</w:t>
            </w:r>
          </w:p>
        </w:tc>
        <w:tc>
          <w:tcPr/>
          <w:p>
            <w:pPr>
              <w:pStyle w:val="Compact"/>
            </w:pPr>
            <w:r>
              <w:t xml:space="preserve">300–1100 hPa</w:t>
            </w:r>
          </w:p>
        </w:tc>
        <w:tc>
          <w:tcPr/>
          <w:p>
            <w:pPr>
              <w:pStyle w:val="Compact"/>
            </w:pPr>
            <w:r>
              <w:t xml:space="preserve">$5–10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Встроена в большинство сенсоров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RFID/BLE передача</w:t>
            </w:r>
          </w:p>
        </w:tc>
        <w:tc>
          <w:tcPr/>
          <w:p>
            <w:pPr>
              <w:pStyle w:val="Compact"/>
            </w:pPr>
            <w:r>
              <w:t xml:space="preserve">Sub-GHz LoRa или BLE 5.0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$10–30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датчик «O₂ + RH + P + T + BLE»: $50–200 в опте.</w:t>
      </w:r>
    </w:p>
    <w:bookmarkEnd w:id="29"/>
    <w:bookmarkStart w:id="30" w:name="архитектура-системы-мониторинга"/>
    <w:p>
      <w:pPr>
        <w:pStyle w:val="Heading3"/>
      </w:pPr>
      <w:r>
        <w:t xml:space="preserve">6.2 Архитектура системы мониторинга</w:t>
      </w:r>
    </w:p>
    <w:p>
      <w:pPr>
        <w:pStyle w:val="SourceCode"/>
      </w:pPr>
      <w:r>
        <w:rPr>
          <w:rStyle w:val="VerbatimChar"/>
        </w:rPr>
        <w:t xml:space="preserve">[Капсула с инертным газом]</w:t>
      </w:r>
      <w:r>
        <w:br/>
      </w:r>
      <w:r>
        <w:rPr>
          <w:rStyle w:val="VerbatimChar"/>
        </w:rPr>
        <w:t xml:space="preserve">    ├── Датчик O₂/RH/P/T (внутри капсулы, на батарейке CR2032, ресурс 5–10 лет)</w:t>
      </w:r>
      <w:r>
        <w:br/>
      </w:r>
      <w:r>
        <w:rPr>
          <w:rStyle w:val="VerbatimChar"/>
        </w:rPr>
        <w:t xml:space="preserve">    ├── BLE-маяк (раз в час)</w:t>
      </w:r>
      <w:r>
        <w:br/>
      </w:r>
      <w:r>
        <w:rPr>
          <w:rStyle w:val="VerbatimChar"/>
        </w:rPr>
        <w:t xml:space="preserve">    └── Внешний концентратор (один на склад) → Cloud (Telegram/email-алерт)</w:t>
      </w:r>
    </w:p>
    <w:p>
      <w:pPr>
        <w:pStyle w:val="FirstParagraph"/>
      </w:pPr>
      <w:r>
        <w:t xml:space="preserve">Аналог в мире:</w:t>
      </w:r>
      <w:r>
        <w:t xml:space="preserve"> </w:t>
      </w:r>
      <w:r>
        <w:rPr>
          <w:b/>
          <w:bCs/>
        </w:rPr>
        <w:t xml:space="preserve">NIST для Декларации Независимости</w:t>
      </w:r>
      <w:r>
        <w:t xml:space="preserve"> </w:t>
      </w:r>
      <w:r>
        <w:t xml:space="preserve">мониторит свои капсулы 20 лет — но это дорогое штучное решение. Стандартизованный «датчик в каждый пакет» — никто не делает.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рекомендации-по-нишам-продуктовая-сетка"/>
    <w:p>
      <w:pPr>
        <w:pStyle w:val="Heading2"/>
      </w:pPr>
      <w:r>
        <w:t xml:space="preserve">7. Рекомендации по нишам (продуктовая сетка)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Ниша</w:t>
            </w:r>
          </w:p>
        </w:tc>
        <w:tc>
          <w:tcPr/>
          <w:p>
            <w:pPr>
              <w:pStyle w:val="Compact"/>
            </w:pPr>
            <w:r>
              <w:t xml:space="preserve">Газ</w:t>
            </w:r>
          </w:p>
        </w:tc>
        <w:tc>
          <w:tcPr/>
          <w:p>
            <w:pPr>
              <w:pStyle w:val="Compact"/>
            </w:pPr>
            <w:r>
              <w:t xml:space="preserve">Конструкция</w:t>
            </w:r>
          </w:p>
        </w:tc>
        <w:tc>
          <w:tcPr/>
          <w:p>
            <w:pPr>
              <w:pStyle w:val="Compact"/>
            </w:pPr>
            <w:r>
              <w:t xml:space="preserve">Толщина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Цена опт</w:t>
            </w:r>
          </w:p>
        </w:tc>
        <w:tc>
          <w:tcPr/>
          <w:p>
            <w:pPr>
              <w:pStyle w:val="Compact"/>
            </w:pPr>
            <w:r>
              <w:t xml:space="preserve">Цена розница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Гаражная капсула под коллекционное авто</w:t>
            </w:r>
          </w:p>
        </w:tc>
        <w:tc>
          <w:tcPr/>
          <w:p>
            <w:pPr>
              <w:pStyle w:val="Compact"/>
            </w:pPr>
            <w:r>
              <w:t xml:space="preserve">N₂ + 6 сашé Ageless Z</w:t>
            </w:r>
          </w:p>
        </w:tc>
        <w:tc>
          <w:tcPr/>
          <w:p>
            <w:pPr>
              <w:pStyle w:val="Compact"/>
            </w:pPr>
            <w:r>
              <w:t xml:space="preserve">Жёсткий каркас + foil-laminate / стеклокомпозит</w:t>
            </w:r>
          </w:p>
        </w:tc>
        <w:tc>
          <w:tcPr/>
          <w:p>
            <w:pPr>
              <w:pStyle w:val="Compact"/>
            </w:pPr>
            <w:r>
              <w:t xml:space="preserve">200–400 мкм</w:t>
            </w:r>
          </w:p>
        </w:tc>
        <w:tc>
          <w:tcPr/>
          <w:p>
            <w:pPr>
              <w:pStyle w:val="Compact"/>
            </w:pPr>
            <w:r>
              <w:t xml:space="preserve">5×2×1.5 м</w:t>
            </w:r>
          </w:p>
        </w:tc>
        <w:tc>
          <w:tcPr/>
          <w:p>
            <w:pPr>
              <w:pStyle w:val="Compact"/>
            </w:pPr>
            <w:r>
              <w:t xml:space="preserve">$1,500–4,000</w:t>
            </w:r>
          </w:p>
        </w:tc>
        <w:tc>
          <w:tcPr/>
          <w:p>
            <w:pPr>
              <w:pStyle w:val="Compact"/>
            </w:pPr>
            <w:r>
              <w:t xml:space="preserve">$5,000–15,000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Капсула под мотоцикл / классику</w:t>
            </w:r>
          </w:p>
        </w:tc>
        <w:tc>
          <w:tcPr/>
          <w:p>
            <w:pPr>
              <w:pStyle w:val="Compact"/>
            </w:pPr>
            <w:r>
              <w:t xml:space="preserve">N₂ + 4 сашé</w:t>
            </w:r>
          </w:p>
        </w:tc>
        <w:tc>
          <w:tcPr/>
          <w:p>
            <w:pPr>
              <w:pStyle w:val="Compact"/>
            </w:pPr>
            <w:r>
              <w:t xml:space="preserve">Foil-laminate с молнией</w:t>
            </w:r>
          </w:p>
        </w:tc>
        <w:tc>
          <w:tcPr/>
          <w:p>
            <w:pPr>
              <w:pStyle w:val="Compact"/>
            </w:pPr>
            <w:r>
              <w:t xml:space="preserve">150–200 мкм</w:t>
            </w:r>
          </w:p>
        </w:tc>
        <w:tc>
          <w:tcPr/>
          <w:p>
            <w:pPr>
              <w:pStyle w:val="Compact"/>
            </w:pPr>
            <w:r>
              <w:t xml:space="preserve">2.5×1×1.5 м</w:t>
            </w:r>
          </w:p>
        </w:tc>
        <w:tc>
          <w:tcPr/>
          <w:p>
            <w:pPr>
              <w:pStyle w:val="Compact"/>
            </w:pPr>
            <w:r>
              <w:t xml:space="preserve">$400–800</w:t>
            </w:r>
          </w:p>
        </w:tc>
        <w:tc>
          <w:tcPr/>
          <w:p>
            <w:pPr>
              <w:pStyle w:val="Compact"/>
            </w:pPr>
            <w:r>
              <w:t xml:space="preserve">$1,500–3,000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Оружейный пакет / охотничий</w:t>
            </w:r>
          </w:p>
        </w:tc>
        <w:tc>
          <w:tcPr/>
          <w:p>
            <w:pPr>
              <w:pStyle w:val="Compact"/>
            </w:pPr>
            <w:r>
              <w:t xml:space="preserve">N₂</w:t>
            </w:r>
          </w:p>
        </w:tc>
        <w:tc>
          <w:tcPr/>
          <w:p>
            <w:pPr>
              <w:pStyle w:val="Compact"/>
            </w:pPr>
            <w:r>
              <w:t xml:space="preserve">Foil-laminate (mil-spec)</w:t>
            </w:r>
          </w:p>
        </w:tc>
        <w:tc>
          <w:tcPr/>
          <w:p>
            <w:pPr>
              <w:pStyle w:val="Compact"/>
            </w:pPr>
            <w:r>
              <w:t xml:space="preserve">150 мкм</w:t>
            </w:r>
          </w:p>
        </w:tc>
        <w:tc>
          <w:tcPr/>
          <w:p>
            <w:pPr>
              <w:pStyle w:val="Compact"/>
            </w:pPr>
            <w:r>
              <w:t xml:space="preserve">1.5×0.3×0.1 м</w:t>
            </w:r>
          </w:p>
        </w:tc>
        <w:tc>
          <w:tcPr/>
          <w:p>
            <w:pPr>
              <w:pStyle w:val="Compact"/>
            </w:pPr>
            <w:r>
              <w:t xml:space="preserve">$30–80</w:t>
            </w:r>
          </w:p>
        </w:tc>
        <w:tc>
          <w:tcPr/>
          <w:p>
            <w:pPr>
              <w:pStyle w:val="Compact"/>
            </w:pPr>
            <w:r>
              <w:t xml:space="preserve">$150–400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Стратегические резервы лекарств</w:t>
            </w:r>
          </w:p>
        </w:tc>
        <w:tc>
          <w:tcPr/>
          <w:p>
            <w:pPr>
              <w:pStyle w:val="Compact"/>
            </w:pPr>
            <w:r>
              <w:t xml:space="preserve">N₂</w:t>
            </w:r>
          </w:p>
        </w:tc>
        <w:tc>
          <w:tcPr/>
          <w:p>
            <w:pPr>
              <w:pStyle w:val="Compact"/>
            </w:pPr>
            <w:r>
              <w:t xml:space="preserve">Medical-grade Al-foil</w:t>
            </w:r>
          </w:p>
        </w:tc>
        <w:tc>
          <w:tcPr/>
          <w:p>
            <w:pPr>
              <w:pStyle w:val="Compact"/>
            </w:pPr>
            <w:r>
              <w:t xml:space="preserve">100 мкм</w:t>
            </w:r>
          </w:p>
        </w:tc>
        <w:tc>
          <w:tcPr/>
          <w:p>
            <w:pPr>
              <w:pStyle w:val="Compact"/>
            </w:pPr>
            <w:r>
              <w:t xml:space="preserve">0.3×0.2×0.05 м</w:t>
            </w:r>
          </w:p>
        </w:tc>
        <w:tc>
          <w:tcPr/>
          <w:p>
            <w:pPr>
              <w:pStyle w:val="Compact"/>
            </w:pPr>
            <w:r>
              <w:t xml:space="preserve">$1–5 / шт</w:t>
            </w:r>
          </w:p>
        </w:tc>
        <w:tc>
          <w:tcPr/>
          <w:p>
            <w:pPr>
              <w:pStyle w:val="Compact"/>
            </w:pPr>
            <w:r>
              <w:t xml:space="preserve">тендер ₽ за партию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Архивная капсула (документы, иконы, монеты)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+ RP-System Type K</w:t>
            </w:r>
          </w:p>
        </w:tc>
        <w:tc>
          <w:tcPr/>
          <w:p>
            <w:pPr>
              <w:pStyle w:val="Compact"/>
            </w:pPr>
            <w:r>
              <w:t xml:space="preserve">Aluminized PET + жёсткий каркас</w:t>
            </w:r>
          </w:p>
        </w:tc>
        <w:tc>
          <w:tcPr/>
          <w:p>
            <w:pPr>
              <w:pStyle w:val="Compact"/>
            </w:pPr>
            <w:r>
              <w:t xml:space="preserve">100–150 мкм</w:t>
            </w:r>
          </w:p>
        </w:tc>
        <w:tc>
          <w:tcPr/>
          <w:p>
            <w:pPr>
              <w:pStyle w:val="Compact"/>
            </w:pPr>
            <w:r>
              <w:t xml:space="preserve">разные</w:t>
            </w:r>
          </w:p>
        </w:tc>
        <w:tc>
          <w:tcPr/>
          <w:p>
            <w:pPr>
              <w:pStyle w:val="Compact"/>
            </w:pPr>
            <w:r>
              <w:t xml:space="preserve">$50–200</w:t>
            </w:r>
          </w:p>
        </w:tc>
        <w:tc>
          <w:tcPr/>
          <w:p>
            <w:pPr>
              <w:pStyle w:val="Compact"/>
            </w:pPr>
            <w:r>
              <w:t xml:space="preserve">$200–800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Капсула под слитки золота / коллекционные часы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+ Ageless OMAC</w:t>
            </w:r>
          </w:p>
        </w:tc>
        <w:tc>
          <w:tcPr/>
          <w:p>
            <w:pPr>
              <w:pStyle w:val="Compact"/>
            </w:pPr>
            <w:r>
              <w:t xml:space="preserve">Жёсткая стеклянная/металлическая капсула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0.3×0.3×0.1 м</w:t>
            </w:r>
          </w:p>
        </w:tc>
        <w:tc>
          <w:tcPr/>
          <w:p>
            <w:pPr>
              <w:pStyle w:val="Compact"/>
            </w:pPr>
            <w:r>
              <w:t xml:space="preserve">$80–250</w:t>
            </w:r>
          </w:p>
        </w:tc>
        <w:tc>
          <w:tcPr/>
          <w:p>
            <w:pPr>
              <w:pStyle w:val="Compact"/>
            </w:pPr>
            <w:r>
              <w:t xml:space="preserve">$300–1,200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Премиум-винные/виски капсулы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Многослойный пакет вокруг бутылки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под бутылку</w:t>
            </w:r>
          </w:p>
        </w:tc>
        <w:tc>
          <w:tcPr/>
          <w:p>
            <w:pPr>
              <w:pStyle w:val="Compact"/>
            </w:pPr>
            <w:r>
              <w:t xml:space="preserve">$5–15</w:t>
            </w:r>
          </w:p>
        </w:tc>
        <w:tc>
          <w:tcPr/>
          <w:p>
            <w:pPr>
              <w:pStyle w:val="Compact"/>
            </w:pPr>
            <w:r>
              <w:t xml:space="preserve">$30–100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Капсула-репликатор музейной витрины (ГИМ/Эрмитаж/локальные)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+ RP-System Type AN</w:t>
            </w:r>
          </w:p>
        </w:tc>
        <w:tc>
          <w:tcPr/>
          <w:p>
            <w:pPr>
              <w:pStyle w:val="Compact"/>
            </w:pPr>
            <w:r>
              <w:t xml:space="preserve">Стекло-Ti с уплотнениями + IoT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ТЗ</w:t>
            </w:r>
          </w:p>
        </w:tc>
        <w:tc>
          <w:tcPr/>
          <w:p>
            <w:pPr>
              <w:pStyle w:val="Compact"/>
            </w:pPr>
            <w:r>
              <w:t xml:space="preserve">под заказ</w:t>
            </w:r>
          </w:p>
        </w:tc>
        <w:tc>
          <w:tcPr/>
          <w:p>
            <w:pPr>
              <w:pStyle w:val="Compact"/>
            </w:pPr>
            <w:r>
              <w:t xml:space="preserve">$5,000–50,000</w:t>
            </w:r>
          </w:p>
        </w:tc>
      </w:tr>
    </w:tbl>
    <w:bookmarkStart w:id="32" w:name="Xca146c06e07a0fdaf1841a721c269df68b8a21b"/>
    <w:p>
      <w:pPr>
        <w:pStyle w:val="Heading3"/>
      </w:pPr>
      <w:r>
        <w:t xml:space="preserve">7.1 Экономическое обоснование (юнит-экономика капсулы под авто)</w:t>
      </w:r>
    </w:p>
    <w:p>
      <w:pPr>
        <w:pStyle w:val="FirstParagraph"/>
      </w:pPr>
      <w:r>
        <w:rPr>
          <w:b/>
          <w:bCs/>
        </w:rPr>
        <w:t xml:space="preserve">Себестоимость:</w:t>
      </w:r>
      <w:r>
        <w:t xml:space="preserve"> </w:t>
      </w:r>
      <w:r>
        <w:t xml:space="preserve">- Foil-laminate (mil-spec) 30 м² × $15/м² = $450</w:t>
      </w:r>
      <w:r>
        <w:t xml:space="preserve"> </w:t>
      </w:r>
      <w:r>
        <w:t xml:space="preserve">- Жёсткий каркас (трубы + профиль) = $200</w:t>
      </w:r>
      <w:r>
        <w:t xml:space="preserve"> </w:t>
      </w:r>
      <w:r>
        <w:t xml:space="preserve">- Молния промышленная (YKK Aquaseal) 8 м × $20 = $160</w:t>
      </w:r>
      <w:r>
        <w:t xml:space="preserve"> </w:t>
      </w:r>
      <w:r>
        <w:t xml:space="preserve">- N₂-картриджи или подключение к стандартному баллону 50 л = $100</w:t>
      </w:r>
      <w:r>
        <w:t xml:space="preserve"> </w:t>
      </w:r>
      <w:r>
        <w:t xml:space="preserve">- 6 сашé Ageless Z = $30</w:t>
      </w:r>
      <w:r>
        <w:t xml:space="preserve"> </w:t>
      </w:r>
      <w:r>
        <w:t xml:space="preserve">- IoT-датчик = $80</w:t>
      </w:r>
      <w:r>
        <w:t xml:space="preserve"> </w:t>
      </w:r>
      <w:r>
        <w:t xml:space="preserve">- Сборка, упаковка, логистика = $300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Итого себестоимость: ~$1,320</w:t>
      </w:r>
    </w:p>
    <w:p>
      <w:pPr>
        <w:pStyle w:val="BodyText"/>
      </w:pPr>
      <w:r>
        <w:rPr>
          <w:b/>
          <w:bCs/>
        </w:rPr>
        <w:t xml:space="preserve">Цена розница: $5,000–15,000</w:t>
      </w:r>
      <w:r>
        <w:t xml:space="preserve"> </w:t>
      </w:r>
      <w:r>
        <w:t xml:space="preserve">в зависимости от премиальности и комплектации.</w:t>
      </w:r>
      <w:r>
        <w:t xml:space="preserve"> </w:t>
      </w:r>
      <w:r>
        <w:rPr>
          <w:b/>
          <w:bCs/>
        </w:rPr>
        <w:t xml:space="preserve">Маржа: 70–90%.</w:t>
      </w:r>
    </w:p>
    <w:p>
      <w:pPr>
        <w:pStyle w:val="BodyText"/>
      </w:pPr>
      <w:r>
        <w:rPr>
          <w:b/>
          <w:bCs/>
        </w:rPr>
        <w:t xml:space="preserve">Целевой клиент:</w:t>
      </w:r>
      <w:r>
        <w:t xml:space="preserve"> </w:t>
      </w:r>
      <w:r>
        <w:t xml:space="preserve">коллекционер авто стоимостью €500k+. Капсула за €5k = 1% от цены машины за 25–50 лет защиты. Эластичность спроса очень низкая.</w:t>
      </w:r>
    </w:p>
    <w:bookmarkEnd w:id="32"/>
    <w:bookmarkStart w:id="33" w:name="объём-рынка-для-трёх-первых-ниш"/>
    <w:p>
      <w:pPr>
        <w:pStyle w:val="Heading3"/>
      </w:pPr>
      <w:r>
        <w:t xml:space="preserve">7.2 Объём рынка (для трёх первых ниш)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Коллекционные авто в мире:</w:t>
      </w:r>
      <w:r>
        <w:t xml:space="preserve"> </w:t>
      </w:r>
      <w:r>
        <w:t xml:space="preserve">~5 млн машин (Hagerty Insurance, 2024). Если 1% владельцев купят капсулу — 50,000 шт × $10k =</w:t>
      </w:r>
      <w:r>
        <w:t xml:space="preserve"> </w:t>
      </w:r>
      <w:r>
        <w:rPr>
          <w:b/>
          <w:bCs/>
        </w:rPr>
        <w:t xml:space="preserve">$500M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Российский Росрезерв и Минздрав:</w:t>
      </w:r>
      <w:r>
        <w:t xml:space="preserve"> </w:t>
      </w:r>
      <w:r>
        <w:t xml:space="preserve">годовой бюджет на стратегические запасы ~₽200B; даже 0.5% на современную упаковку = ₽1B/год.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Музейные витрины РФ + Казахстан:</w:t>
      </w:r>
      <w:r>
        <w:t xml:space="preserve"> </w:t>
      </w:r>
      <w:r>
        <w:t xml:space="preserve">~5,000 музеев с бюджетом &gt;₽1M/год; 1% покупает капсулу/год = 50 капсул × ₽1M = ₽50M/год.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стандарты-и-сертификация"/>
    <w:p>
      <w:pPr>
        <w:pStyle w:val="Heading2"/>
      </w:pPr>
      <w:r>
        <w:t xml:space="preserve">8. Стандарты и сертификация</w:t>
      </w:r>
    </w:p>
    <w:bookmarkStart w:id="35" w:name="применимые-российские"/>
    <w:p>
      <w:pPr>
        <w:pStyle w:val="Heading3"/>
      </w:pPr>
      <w:r>
        <w:t xml:space="preserve">Применимые российские: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ГОСТ 9.014-78 / ГОСТ В 9.014</w:t>
      </w:r>
      <w:r>
        <w:t xml:space="preserve"> </w:t>
      </w:r>
      <w:r>
        <w:t xml:space="preserve">— Защита от коррозии при хранении (варианты ВЗ-10/14/15/16)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ГОСТ 9293-74</w:t>
      </w:r>
      <w:r>
        <w:t xml:space="preserve"> </w:t>
      </w:r>
      <w:r>
        <w:t xml:space="preserve">— Азот газообразный и жидкий (требования чистоты)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ГОСТ Р 52684</w:t>
      </w:r>
      <w:r>
        <w:t xml:space="preserve"> </w:t>
      </w:r>
      <w:r>
        <w:t xml:space="preserve">— Упаковка пищевая в модифицированной газовой среде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ГОСТ ISO 11607</w:t>
      </w:r>
      <w:r>
        <w:t xml:space="preserve"> </w:t>
      </w:r>
      <w:r>
        <w:t xml:space="preserve">— Упаковка для медицинских изделий, подлежащих стерилизации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ГОСТ 26663-85</w:t>
      </w:r>
      <w:r>
        <w:t xml:space="preserve"> </w:t>
      </w:r>
      <w:r>
        <w:t xml:space="preserve">— Транспортные пакеты (для крупных капсул)</w:t>
      </w:r>
    </w:p>
    <w:bookmarkEnd w:id="35"/>
    <w:bookmarkStart w:id="36" w:name="применимые-международные"/>
    <w:p>
      <w:pPr>
        <w:pStyle w:val="Heading3"/>
      </w:pPr>
      <w:r>
        <w:t xml:space="preserve">Применимые международные: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MIL-STD-2073-1E w/CHG-4</w:t>
      </w:r>
      <w:r>
        <w:t xml:space="preserve"> </w:t>
      </w:r>
      <w:r>
        <w:t xml:space="preserve">(US DoD, 2019) — Methods of Preservation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MIL-PRF-131K</w:t>
      </w:r>
      <w:r>
        <w:t xml:space="preserve"> </w:t>
      </w:r>
      <w:r>
        <w:t xml:space="preserve">— Barrier Material, Watervaporproof, Greaseproof, Flexible, Heat-Sealable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MIL-PRF-22191</w:t>
      </w:r>
      <w:r>
        <w:t xml:space="preserve"> </w:t>
      </w:r>
      <w:r>
        <w:t xml:space="preserve">— Barrier Material, Transparent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MIL-PRF-81705F</w:t>
      </w:r>
      <w:r>
        <w:t xml:space="preserve"> </w:t>
      </w:r>
      <w:r>
        <w:t xml:space="preserve">— Barrier Material, Flexible, Electrostatic Protective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MIL-PRF-3420</w:t>
      </w:r>
      <w:r>
        <w:t xml:space="preserve"> </w:t>
      </w:r>
      <w:r>
        <w:t xml:space="preserve">— VCI packaging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 15106</w:t>
      </w:r>
      <w:r>
        <w:t xml:space="preserve"> </w:t>
      </w:r>
      <w:r>
        <w:t xml:space="preserve">— Кислородопроницаемость (OTR) — методы измерения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ASTM D3985</w:t>
      </w:r>
      <w:r>
        <w:t xml:space="preserve"> </w:t>
      </w:r>
      <w:r>
        <w:t xml:space="preserve">— Standard Test Method for OTR through Plastic Film</w:t>
      </w:r>
    </w:p>
    <w:bookmarkEnd w:id="36"/>
    <w:bookmarkStart w:id="37" w:name="дорожная-карта-сертификации"/>
    <w:p>
      <w:pPr>
        <w:pStyle w:val="Heading3"/>
      </w:pPr>
      <w:r>
        <w:t xml:space="preserve">Дорожная карта сертификации: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Этап 1:</w:t>
      </w:r>
      <w:r>
        <w:t xml:space="preserve"> </w:t>
      </w:r>
      <w:r>
        <w:t xml:space="preserve">ГОСТ Р + декларация соответствия ТР ТС → выход на РФ-рынок (3–6 мес).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Этап 2:</w:t>
      </w:r>
      <w:r>
        <w:t xml:space="preserve"> </w:t>
      </w:r>
      <w:r>
        <w:t xml:space="preserve">Сертификация ВУ-5 ГОСТ В 9.014 → допуск к гособоронзаказу (12–18 мес).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Этап 3:</w:t>
      </w:r>
      <w:r>
        <w:t xml:space="preserve"> </w:t>
      </w:r>
      <w:r>
        <w:t xml:space="preserve">Аудит MIL-PRF-131K → экспорт США/НАТО (опционально, 12–24 мес).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Этап 4:</w:t>
      </w:r>
      <w:r>
        <w:t xml:space="preserve"> </w:t>
      </w:r>
      <w:r>
        <w:t xml:space="preserve">Патент ЕАЭС + PCT → защита ИС (6–12 мес параллельно).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82" w:name="список-реальных-источников"/>
    <w:p>
      <w:pPr>
        <w:pStyle w:val="Heading2"/>
      </w:pPr>
      <w:r>
        <w:t xml:space="preserve">9. Список реальных источников</w:t>
      </w:r>
    </w:p>
    <w:bookmarkStart w:id="45" w:name="музейная-и-архивная-консервация"/>
    <w:p>
      <w:pPr>
        <w:pStyle w:val="Heading3"/>
      </w:pPr>
      <w:r>
        <w:t xml:space="preserve">Музейная и архивная консервация</w:t>
      </w:r>
    </w:p>
    <w:p>
      <w:pPr>
        <w:pStyle w:val="Compact"/>
        <w:numPr>
          <w:ilvl w:val="0"/>
          <w:numId w:val="1006"/>
        </w:numPr>
      </w:pPr>
      <w:r>
        <w:t xml:space="preserve">Maekawa S. (1998).</w:t>
      </w:r>
      <w:r>
        <w:t xml:space="preserve"> </w:t>
      </w:r>
      <w:r>
        <w:rPr>
          <w:i/>
          <w:iCs/>
        </w:rPr>
        <w:t xml:space="preserve">Oxygen-Free Environments in the Control of Museum Insect Pests.</w:t>
      </w:r>
      <w:r>
        <w:t xml:space="preserve"> </w:t>
      </w:r>
      <w:r>
        <w:t xml:space="preserve">Getty Conservation Institute.</w:t>
      </w:r>
      <w:r>
        <w:t xml:space="preserve"> </w:t>
      </w:r>
      <w:hyperlink r:id="rId39">
        <w:r>
          <w:rPr>
            <w:rStyle w:val="Hyperlink"/>
          </w:rPr>
          <w:t xml:space="preserve">oxygenfree.pdf</w:t>
        </w:r>
      </w:hyperlink>
    </w:p>
    <w:p>
      <w:pPr>
        <w:pStyle w:val="Compact"/>
        <w:numPr>
          <w:ilvl w:val="0"/>
          <w:numId w:val="1006"/>
        </w:numPr>
      </w:pPr>
      <w:r>
        <w:t xml:space="preserve">National Archives, USA.</w:t>
      </w:r>
      <w:r>
        <w:t xml:space="preserve"> </w:t>
      </w:r>
      <w:r>
        <w:rPr>
          <w:i/>
          <w:iCs/>
        </w:rPr>
        <w:t xml:space="preserve">Re-encasement of the Charters of Freedom</w:t>
      </w:r>
      <w:r>
        <w:t xml:space="preserve"> </w:t>
      </w:r>
      <w:r>
        <w:t xml:space="preserve">(Декларация Независимости в аргоне).</w:t>
      </w:r>
      <w:r>
        <w:t xml:space="preserve"> </w:t>
      </w:r>
      <w:hyperlink r:id="rId40">
        <w:r>
          <w:rPr>
            <w:rStyle w:val="Hyperlink"/>
          </w:rPr>
          <w:t xml:space="preserve">archives.gov/press/press-kits/charters.html</w:t>
        </w:r>
      </w:hyperlink>
    </w:p>
    <w:p>
      <w:pPr>
        <w:pStyle w:val="Compact"/>
        <w:numPr>
          <w:ilvl w:val="0"/>
          <w:numId w:val="1006"/>
        </w:numPr>
      </w:pPr>
      <w:r>
        <w:t xml:space="preserve">NIST.</w:t>
      </w:r>
      <w:r>
        <w:t xml:space="preserve"> </w:t>
      </w:r>
      <w:r>
        <w:rPr>
          <w:i/>
          <w:iCs/>
        </w:rPr>
        <w:t xml:space="preserve">Using Science to Preserve America’s Founding Documents.</w:t>
      </w:r>
      <w:r>
        <w:t xml:space="preserve"> </w:t>
      </w:r>
      <w:hyperlink r:id="rId41">
        <w:r>
          <w:rPr>
            <w:rStyle w:val="Hyperlink"/>
          </w:rPr>
          <w:t xml:space="preserve">nist.gov/preserving-past</w:t>
        </w:r>
      </w:hyperlink>
    </w:p>
    <w:p>
      <w:pPr>
        <w:pStyle w:val="Compact"/>
        <w:numPr>
          <w:ilvl w:val="0"/>
          <w:numId w:val="1006"/>
        </w:numPr>
      </w:pPr>
      <w:r>
        <w:t xml:space="preserve">Library of Congress.</w:t>
      </w:r>
      <w:r>
        <w:t xml:space="preserve"> </w:t>
      </w:r>
      <w:r>
        <w:rPr>
          <w:i/>
          <w:iCs/>
        </w:rPr>
        <w:t xml:space="preserve">Anoxic Encasements.</w:t>
      </w:r>
      <w:r>
        <w:t xml:space="preserve"> </w:t>
      </w:r>
      <w:hyperlink r:id="rId42">
        <w:r>
          <w:rPr>
            <w:rStyle w:val="Hyperlink"/>
          </w:rPr>
          <w:t xml:space="preserve">loc.gov/preservation/scientists/projects/anoxic_cases.html</w:t>
        </w:r>
      </w:hyperlink>
    </w:p>
    <w:p>
      <w:pPr>
        <w:pStyle w:val="Compact"/>
        <w:numPr>
          <w:ilvl w:val="0"/>
          <w:numId w:val="1006"/>
        </w:numPr>
      </w:pPr>
      <w:r>
        <w:t xml:space="preserve">Museum Pests Working Group.</w:t>
      </w:r>
      <w:r>
        <w:t xml:space="preserve"> </w:t>
      </w:r>
      <w:r>
        <w:rPr>
          <w:i/>
          <w:iCs/>
        </w:rPr>
        <w:t xml:space="preserve">Solutions: Nitrogen/Argon Gas Treatment.</w:t>
      </w:r>
      <w:r>
        <w:t xml:space="preserve"> </w:t>
      </w:r>
      <w:hyperlink r:id="rId43">
        <w:r>
          <w:rPr>
            <w:rStyle w:val="Hyperlink"/>
          </w:rPr>
          <w:t xml:space="preserve">museumpests.net</w:t>
        </w:r>
      </w:hyperlink>
    </w:p>
    <w:p>
      <w:pPr>
        <w:pStyle w:val="Compact"/>
        <w:numPr>
          <w:ilvl w:val="0"/>
          <w:numId w:val="1006"/>
        </w:numPr>
      </w:pPr>
      <w:r>
        <w:t xml:space="preserve">AIC Conservation Wiki.</w:t>
      </w:r>
      <w:r>
        <w:t xml:space="preserve"> </w:t>
      </w:r>
      <w:r>
        <w:rPr>
          <w:i/>
          <w:iCs/>
        </w:rPr>
        <w:t xml:space="preserve">Anoxia.</w:t>
      </w:r>
      <w:r>
        <w:t xml:space="preserve"> </w:t>
      </w:r>
      <w:hyperlink r:id="rId44">
        <w:r>
          <w:rPr>
            <w:rStyle w:val="Hyperlink"/>
          </w:rPr>
          <w:t xml:space="preserve">conservation-wiki.com/wiki/Anoxia</w:t>
        </w:r>
      </w:hyperlink>
    </w:p>
    <w:bookmarkEnd w:id="45"/>
    <w:bookmarkStart w:id="49" w:name="кислород-абсорберы-и-барьерные-материалы"/>
    <w:p>
      <w:pPr>
        <w:pStyle w:val="Heading3"/>
      </w:pPr>
      <w:r>
        <w:t xml:space="preserve">Кислород-абсорберы и барьерные материалы</w:t>
      </w:r>
    </w:p>
    <w:p>
      <w:pPr>
        <w:pStyle w:val="Compact"/>
        <w:numPr>
          <w:ilvl w:val="0"/>
          <w:numId w:val="1007"/>
        </w:numPr>
      </w:pPr>
      <w:r>
        <w:t xml:space="preserve">Mitsubishi Gas Chemical.</w:t>
      </w:r>
      <w:r>
        <w:t xml:space="preserve"> </w:t>
      </w:r>
      <w:r>
        <w:rPr>
          <w:i/>
          <w:iCs/>
        </w:rPr>
        <w:t xml:space="preserve">Ageless Oxygen Absorbers.</w:t>
      </w:r>
      <w:r>
        <w:t xml:space="preserve"> </w:t>
      </w:r>
      <w:hyperlink r:id="rId22">
        <w:r>
          <w:rPr>
            <w:rStyle w:val="Hyperlink"/>
          </w:rPr>
          <w:t xml:space="preserve">mgc.co.jp/eng/products/sc/ageless</w:t>
        </w:r>
      </w:hyperlink>
    </w:p>
    <w:p>
      <w:pPr>
        <w:pStyle w:val="Compact"/>
        <w:numPr>
          <w:ilvl w:val="0"/>
          <w:numId w:val="1007"/>
        </w:numPr>
      </w:pPr>
      <w:r>
        <w:t xml:space="preserve">Mitsubishi Gas Chemical.</w:t>
      </w:r>
      <w:r>
        <w:t xml:space="preserve"> </w:t>
      </w:r>
      <w:r>
        <w:rPr>
          <w:i/>
          <w:iCs/>
        </w:rPr>
        <w:t xml:space="preserve">Pharmakeep — Organic Oxygen Absorber.</w:t>
      </w:r>
      <w:r>
        <w:t xml:space="preserve"> </w:t>
      </w:r>
      <w:hyperlink r:id="rId23">
        <w:r>
          <w:rPr>
            <w:rStyle w:val="Hyperlink"/>
          </w:rPr>
          <w:t xml:space="preserve">mgcs.com.sg/pharmakeep</w:t>
        </w:r>
      </w:hyperlink>
    </w:p>
    <w:p>
      <w:pPr>
        <w:pStyle w:val="Compact"/>
        <w:numPr>
          <w:ilvl w:val="0"/>
          <w:numId w:val="1007"/>
        </w:numPr>
      </w:pPr>
      <w:r>
        <w:t xml:space="preserve">Conservation Support Systems.</w:t>
      </w:r>
      <w:r>
        <w:t xml:space="preserve"> </w:t>
      </w:r>
      <w:r>
        <w:rPr>
          <w:i/>
          <w:iCs/>
        </w:rPr>
        <w:t xml:space="preserve">RP System Type-AN.</w:t>
      </w:r>
      <w:r>
        <w:t xml:space="preserve"> </w:t>
      </w:r>
      <w:hyperlink r:id="rId24">
        <w:r>
          <w:rPr>
            <w:rStyle w:val="Hyperlink"/>
          </w:rPr>
          <w:t xml:space="preserve">conservationsupportsystems.com</w:t>
        </w:r>
      </w:hyperlink>
    </w:p>
    <w:p>
      <w:pPr>
        <w:pStyle w:val="Compact"/>
        <w:numPr>
          <w:ilvl w:val="0"/>
          <w:numId w:val="1007"/>
        </w:numPr>
      </w:pPr>
      <w:r>
        <w:t xml:space="preserve">TALAS.</w:t>
      </w:r>
      <w:r>
        <w:t xml:space="preserve"> </w:t>
      </w:r>
      <w:r>
        <w:rPr>
          <w:i/>
          <w:iCs/>
        </w:rPr>
        <w:t xml:space="preserve">Mitsubishi Oxygen Absorbers RP-A &amp; RP-K.</w:t>
      </w:r>
      <w:r>
        <w:t xml:space="preserve"> </w:t>
      </w:r>
      <w:hyperlink r:id="rId46">
        <w:r>
          <w:rPr>
            <w:rStyle w:val="Hyperlink"/>
          </w:rPr>
          <w:t xml:space="preserve">talasonline.com</w:t>
        </w:r>
      </w:hyperlink>
    </w:p>
    <w:p>
      <w:pPr>
        <w:pStyle w:val="Compact"/>
        <w:numPr>
          <w:ilvl w:val="0"/>
          <w:numId w:val="1007"/>
        </w:numPr>
      </w:pPr>
      <w:r>
        <w:t xml:space="preserve">Sorbent Systems.</w:t>
      </w:r>
      <w:r>
        <w:t xml:space="preserve"> </w:t>
      </w:r>
      <w:r>
        <w:rPr>
          <w:i/>
          <w:iCs/>
        </w:rPr>
        <w:t xml:space="preserve">Mylar Bags.</w:t>
      </w:r>
      <w:r>
        <w:t xml:space="preserve"> </w:t>
      </w:r>
      <w:hyperlink r:id="rId47">
        <w:r>
          <w:rPr>
            <w:rStyle w:val="Hyperlink"/>
          </w:rPr>
          <w:t xml:space="preserve">sorbentsystems.com/mylar.html</w:t>
        </w:r>
      </w:hyperlink>
    </w:p>
    <w:p>
      <w:pPr>
        <w:pStyle w:val="Compact"/>
        <w:numPr>
          <w:ilvl w:val="0"/>
          <w:numId w:val="1007"/>
        </w:numPr>
      </w:pPr>
      <w:r>
        <w:t xml:space="preserve">IMPAK Corporation.</w:t>
      </w:r>
      <w:r>
        <w:t xml:space="preserve"> </w:t>
      </w:r>
      <w:hyperlink r:id="rId48">
        <w:r>
          <w:rPr>
            <w:rStyle w:val="Hyperlink"/>
          </w:rPr>
          <w:t xml:space="preserve">impakcorporation.com</w:t>
        </w:r>
      </w:hyperlink>
    </w:p>
    <w:bookmarkEnd w:id="49"/>
    <w:bookmarkStart w:id="56" w:name="военные-и-индустриальные-стандарты"/>
    <w:p>
      <w:pPr>
        <w:pStyle w:val="Heading3"/>
      </w:pPr>
      <w:r>
        <w:t xml:space="preserve">Военные и индустриальные стандарты</w:t>
      </w:r>
    </w:p>
    <w:p>
      <w:pPr>
        <w:pStyle w:val="Compact"/>
        <w:numPr>
          <w:ilvl w:val="0"/>
          <w:numId w:val="1008"/>
        </w:numPr>
      </w:pPr>
      <w:r>
        <w:t xml:space="preserve">DoD.</w:t>
      </w:r>
      <w:r>
        <w:t xml:space="preserve"> </w:t>
      </w:r>
      <w:r>
        <w:rPr>
          <w:i/>
          <w:iCs/>
        </w:rPr>
        <w:t xml:space="preserve">MIL-STD-2073-1E w/CHG-4</w:t>
      </w:r>
      <w:r>
        <w:t xml:space="preserve"> </w:t>
      </w:r>
      <w:r>
        <w:t xml:space="preserve">(2019).</w:t>
      </w:r>
      <w:r>
        <w:t xml:space="preserve"> </w:t>
      </w:r>
      <w:hyperlink r:id="rId50">
        <w:r>
          <w:rPr>
            <w:rStyle w:val="Hyperlink"/>
          </w:rPr>
          <w:t xml:space="preserve">s3vi.ndc.nasa.gov / MIL-STD-2073</w:t>
        </w:r>
      </w:hyperlink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MIL-STD-2073 Methods Lookup.</w:t>
      </w:r>
      <w:r>
        <w:t xml:space="preserve"> </w:t>
      </w:r>
      <w:hyperlink r:id="rId51">
        <w:r>
          <w:rPr>
            <w:rStyle w:val="Hyperlink"/>
          </w:rPr>
          <w:t xml:space="preserve">camphill.leidos.com</w:t>
        </w:r>
      </w:hyperlink>
    </w:p>
    <w:p>
      <w:pPr>
        <w:pStyle w:val="Compact"/>
        <w:numPr>
          <w:ilvl w:val="0"/>
          <w:numId w:val="1008"/>
        </w:numPr>
      </w:pPr>
      <w:r>
        <w:t xml:space="preserve">3D Barrier Bags.</w:t>
      </w:r>
      <w:r>
        <w:t xml:space="preserve"> </w:t>
      </w:r>
      <w:r>
        <w:rPr>
          <w:i/>
          <w:iCs/>
        </w:rPr>
        <w:t xml:space="preserve">MIL-PRF-131.</w:t>
      </w:r>
      <w:r>
        <w:t xml:space="preserve"> </w:t>
      </w:r>
      <w:hyperlink r:id="rId18">
        <w:r>
          <w:rPr>
            <w:rStyle w:val="Hyperlink"/>
          </w:rPr>
          <w:t xml:space="preserve">3dbarrierbags.com</w:t>
        </w:r>
      </w:hyperlink>
    </w:p>
    <w:p>
      <w:pPr>
        <w:pStyle w:val="Compact"/>
        <w:numPr>
          <w:ilvl w:val="0"/>
          <w:numId w:val="1008"/>
        </w:numPr>
      </w:pPr>
      <w:r>
        <w:t xml:space="preserve">3D Barrier Bags.</w:t>
      </w:r>
      <w:r>
        <w:t xml:space="preserve"> </w:t>
      </w:r>
      <w:r>
        <w:rPr>
          <w:i/>
          <w:iCs/>
        </w:rPr>
        <w:t xml:space="preserve">MIL-PRF-81705.</w:t>
      </w:r>
      <w:r>
        <w:t xml:space="preserve"> </w:t>
      </w:r>
      <w:hyperlink r:id="rId52">
        <w:r>
          <w:rPr>
            <w:rStyle w:val="Hyperlink"/>
          </w:rPr>
          <w:t xml:space="preserve">3dbarrierbags.com</w:t>
        </w:r>
      </w:hyperlink>
    </w:p>
    <w:p>
      <w:pPr>
        <w:pStyle w:val="Compact"/>
        <w:numPr>
          <w:ilvl w:val="0"/>
          <w:numId w:val="1008"/>
        </w:numPr>
      </w:pPr>
      <w:r>
        <w:t xml:space="preserve">Royco Packaging.</w:t>
      </w:r>
      <w:r>
        <w:t xml:space="preserve"> </w:t>
      </w:r>
      <w:r>
        <w:rPr>
          <w:i/>
          <w:iCs/>
        </w:rPr>
        <w:t xml:space="preserve">MIL-DTL-117 Barrier Bags Explained.</w:t>
      </w:r>
      <w:r>
        <w:t xml:space="preserve"> </w:t>
      </w:r>
      <w:hyperlink r:id="rId53">
        <w:r>
          <w:rPr>
            <w:rStyle w:val="Hyperlink"/>
          </w:rPr>
          <w:t xml:space="preserve">roycopackaging.com</w:t>
        </w:r>
      </w:hyperlink>
    </w:p>
    <w:p>
      <w:pPr>
        <w:pStyle w:val="Compact"/>
        <w:numPr>
          <w:ilvl w:val="0"/>
          <w:numId w:val="1008"/>
        </w:numPr>
      </w:pPr>
      <w:r>
        <w:t xml:space="preserve">ГОСТ 9.014-78. ЕСЗКС. Временная противокоррозионная защита изделий.</w:t>
      </w:r>
      <w:r>
        <w:t xml:space="preserve"> </w:t>
      </w:r>
      <w:hyperlink r:id="rId54">
        <w:r>
          <w:rPr>
            <w:rStyle w:val="Hyperlink"/>
          </w:rPr>
          <w:t xml:space="preserve">docs.cntd.ru/document/1200004940</w:t>
        </w:r>
      </w:hyperlink>
    </w:p>
    <w:p>
      <w:pPr>
        <w:pStyle w:val="Compact"/>
        <w:numPr>
          <w:ilvl w:val="0"/>
          <w:numId w:val="1008"/>
        </w:numPr>
      </w:pPr>
      <w:r>
        <w:t xml:space="preserve">ГОСТ 9293-74. Азот газообразный и жидкий.</w:t>
      </w:r>
      <w:r>
        <w:t xml:space="preserve"> </w:t>
      </w:r>
      <w:hyperlink r:id="rId55">
        <w:r>
          <w:rPr>
            <w:rStyle w:val="Hyperlink"/>
          </w:rPr>
          <w:t xml:space="preserve">docs.cntd.ru/document/1200006220</w:t>
        </w:r>
      </w:hyperlink>
    </w:p>
    <w:bookmarkEnd w:id="56"/>
    <w:bookmarkStart w:id="62" w:name="vci-и-альтернативные-технологии"/>
    <w:p>
      <w:pPr>
        <w:pStyle w:val="Heading3"/>
      </w:pPr>
      <w:r>
        <w:t xml:space="preserve">VCI и альтернативные технологии</w:t>
      </w:r>
    </w:p>
    <w:p>
      <w:pPr>
        <w:pStyle w:val="Compact"/>
        <w:numPr>
          <w:ilvl w:val="0"/>
          <w:numId w:val="1009"/>
        </w:numPr>
      </w:pPr>
      <w:r>
        <w:t xml:space="preserve">Cortec Corporation.</w:t>
      </w:r>
      <w:r>
        <w:t xml:space="preserve"> </w:t>
      </w:r>
      <w:r>
        <w:rPr>
          <w:i/>
          <w:iCs/>
        </w:rPr>
        <w:t xml:space="preserve">VpCI Films &amp; Bags.</w:t>
      </w:r>
      <w:r>
        <w:t xml:space="preserve"> </w:t>
      </w:r>
      <w:hyperlink r:id="rId57">
        <w:r>
          <w:rPr>
            <w:rStyle w:val="Hyperlink"/>
          </w:rPr>
          <w:t xml:space="preserve">cortecvci.com</w:t>
        </w:r>
      </w:hyperlink>
    </w:p>
    <w:p>
      <w:pPr>
        <w:pStyle w:val="Compact"/>
        <w:numPr>
          <w:ilvl w:val="0"/>
          <w:numId w:val="1009"/>
        </w:numPr>
      </w:pPr>
      <w:r>
        <w:t xml:space="preserve">Cortec.</w:t>
      </w:r>
      <w:r>
        <w:t xml:space="preserve"> </w:t>
      </w:r>
      <w:r>
        <w:rPr>
          <w:i/>
          <w:iCs/>
        </w:rPr>
        <w:t xml:space="preserve">VCI vs Nitrogen — Bavarian paper 5450.</w:t>
      </w:r>
      <w:r>
        <w:t xml:space="preserve"> </w:t>
      </w:r>
      <w:hyperlink r:id="rId58">
        <w:r>
          <w:rPr>
            <w:rStyle w:val="Hyperlink"/>
          </w:rPr>
          <w:t xml:space="preserve">cortecvci.com Publications</w:t>
        </w:r>
      </w:hyperlink>
    </w:p>
    <w:p>
      <w:pPr>
        <w:pStyle w:val="Compact"/>
        <w:numPr>
          <w:ilvl w:val="0"/>
          <w:numId w:val="1009"/>
        </w:numPr>
      </w:pPr>
      <w:r>
        <w:t xml:space="preserve">Daubert Cromwell.</w:t>
      </w:r>
      <w:r>
        <w:t xml:space="preserve"> </w:t>
      </w:r>
      <w:r>
        <w:rPr>
          <w:i/>
          <w:iCs/>
        </w:rPr>
        <w:t xml:space="preserve">Military Packaging.</w:t>
      </w:r>
      <w:r>
        <w:t xml:space="preserve"> </w:t>
      </w:r>
      <w:hyperlink r:id="rId59">
        <w:r>
          <w:rPr>
            <w:rStyle w:val="Hyperlink"/>
          </w:rPr>
          <w:t xml:space="preserve">daubertcromwell.com</w:t>
        </w:r>
      </w:hyperlink>
    </w:p>
    <w:p>
      <w:pPr>
        <w:pStyle w:val="Compact"/>
        <w:numPr>
          <w:ilvl w:val="0"/>
          <w:numId w:val="1009"/>
        </w:numPr>
      </w:pPr>
      <w:r>
        <w:t xml:space="preserve">Zerust.</w:t>
      </w:r>
      <w:r>
        <w:t xml:space="preserve"> </w:t>
      </w:r>
      <w:r>
        <w:rPr>
          <w:i/>
          <w:iCs/>
        </w:rPr>
        <w:t xml:space="preserve">VCI Gun Storage Bags.</w:t>
      </w:r>
      <w:r>
        <w:t xml:space="preserve"> </w:t>
      </w:r>
      <w:hyperlink r:id="rId60">
        <w:r>
          <w:rPr>
            <w:rStyle w:val="Hyperlink"/>
          </w:rPr>
          <w:t xml:space="preserve">zerustproducts.com</w:t>
        </w:r>
      </w:hyperlink>
    </w:p>
    <w:p>
      <w:pPr>
        <w:pStyle w:val="Compact"/>
        <w:numPr>
          <w:ilvl w:val="0"/>
          <w:numId w:val="1009"/>
        </w:numPr>
      </w:pPr>
      <w:r>
        <w:t xml:space="preserve">Arms Preservation Inc. </w:t>
      </w:r>
      <w:hyperlink r:id="rId61">
        <w:r>
          <w:rPr>
            <w:rStyle w:val="Hyperlink"/>
          </w:rPr>
          <w:t xml:space="preserve">apistoragebags.com</w:t>
        </w:r>
      </w:hyperlink>
    </w:p>
    <w:bookmarkEnd w:id="62"/>
    <w:bookmarkStart w:id="67" w:name="авто-сегмент-текущие-конкуренты"/>
    <w:p>
      <w:pPr>
        <w:pStyle w:val="Heading3"/>
      </w:pPr>
      <w:r>
        <w:t xml:space="preserve">Авто-сегмент (текущие конкуренты)</w:t>
      </w:r>
    </w:p>
    <w:p>
      <w:pPr>
        <w:pStyle w:val="Compact"/>
        <w:numPr>
          <w:ilvl w:val="0"/>
          <w:numId w:val="1010"/>
        </w:numPr>
      </w:pPr>
      <w:r>
        <w:t xml:space="preserve">CarCapsule.</w:t>
      </w:r>
      <w:r>
        <w:t xml:space="preserve"> </w:t>
      </w:r>
      <w:hyperlink r:id="rId63">
        <w:r>
          <w:rPr>
            <w:rStyle w:val="Hyperlink"/>
          </w:rPr>
          <w:t xml:space="preserve">carcapsule.com</w:t>
        </w:r>
      </w:hyperlink>
    </w:p>
    <w:p>
      <w:pPr>
        <w:pStyle w:val="Compact"/>
        <w:numPr>
          <w:ilvl w:val="0"/>
          <w:numId w:val="1010"/>
        </w:numPr>
      </w:pPr>
      <w:r>
        <w:t xml:space="preserve">Carcoon Storage Systems.</w:t>
      </w:r>
      <w:r>
        <w:t xml:space="preserve"> </w:t>
      </w:r>
      <w:hyperlink r:id="rId64">
        <w:r>
          <w:rPr>
            <w:rStyle w:val="Hyperlink"/>
          </w:rPr>
          <w:t xml:space="preserve">carcoon.com</w:t>
        </w:r>
      </w:hyperlink>
    </w:p>
    <w:p>
      <w:pPr>
        <w:pStyle w:val="Compact"/>
        <w:numPr>
          <w:ilvl w:val="0"/>
          <w:numId w:val="1010"/>
        </w:numPr>
      </w:pPr>
      <w:r>
        <w:t xml:space="preserve">AutoPyjama PermaBag.</w:t>
      </w:r>
      <w:r>
        <w:t xml:space="preserve"> </w:t>
      </w:r>
      <w:hyperlink r:id="rId65">
        <w:r>
          <w:rPr>
            <w:rStyle w:val="Hyperlink"/>
          </w:rPr>
          <w:t xml:space="preserve">autopyjama.com</w:t>
        </w:r>
      </w:hyperlink>
    </w:p>
    <w:p>
      <w:pPr>
        <w:pStyle w:val="Compact"/>
        <w:numPr>
          <w:ilvl w:val="0"/>
          <w:numId w:val="1010"/>
        </w:numPr>
      </w:pPr>
      <w:r>
        <w:t xml:space="preserve">SSR Performance Munich (подземный гараж с N₂).</w:t>
      </w:r>
      <w:r>
        <w:t xml:space="preserve"> </w:t>
      </w:r>
      <w:hyperlink r:id="rId66">
        <w:r>
          <w:rPr>
            <w:rStyle w:val="Hyperlink"/>
          </w:rPr>
          <w:t xml:space="preserve">ssr-performance.de</w:t>
        </w:r>
      </w:hyperlink>
    </w:p>
    <w:bookmarkEnd w:id="67"/>
    <w:bookmarkStart w:id="74" w:name="map-пища-и-фарма"/>
    <w:p>
      <w:pPr>
        <w:pStyle w:val="Heading3"/>
      </w:pPr>
      <w:r>
        <w:t xml:space="preserve">MAP пища и фарма</w:t>
      </w:r>
    </w:p>
    <w:p>
      <w:pPr>
        <w:pStyle w:val="Compact"/>
        <w:numPr>
          <w:ilvl w:val="0"/>
          <w:numId w:val="1011"/>
        </w:numPr>
      </w:pPr>
      <w:r>
        <w:t xml:space="preserve">Coravin.</w:t>
      </w:r>
      <w:r>
        <w:t xml:space="preserve"> </w:t>
      </w:r>
      <w:r>
        <w:rPr>
          <w:i/>
          <w:iCs/>
        </w:rPr>
        <w:t xml:space="preserve">Why Argon Gas.</w:t>
      </w:r>
      <w:r>
        <w:t xml:space="preserve"> </w:t>
      </w:r>
      <w:hyperlink r:id="rId68">
        <w:r>
          <w:rPr>
            <w:rStyle w:val="Hyperlink"/>
          </w:rPr>
          <w:t xml:space="preserve">coravin.com</w:t>
        </w:r>
      </w:hyperlink>
    </w:p>
    <w:p>
      <w:pPr>
        <w:pStyle w:val="Compact"/>
        <w:numPr>
          <w:ilvl w:val="0"/>
          <w:numId w:val="1011"/>
        </w:numPr>
      </w:pPr>
      <w:r>
        <w:t xml:space="preserve">Air Liquide.</w:t>
      </w:r>
      <w:r>
        <w:t xml:space="preserve"> </w:t>
      </w:r>
      <w:r>
        <w:rPr>
          <w:i/>
          <w:iCs/>
        </w:rPr>
        <w:t xml:space="preserve">Modified Atmosphere Packaging.</w:t>
      </w:r>
      <w:r>
        <w:t xml:space="preserve"> </w:t>
      </w:r>
      <w:hyperlink r:id="rId69">
        <w:r>
          <w:rPr>
            <w:rStyle w:val="Hyperlink"/>
          </w:rPr>
          <w:t xml:space="preserve">airliquide.com</w:t>
        </w:r>
      </w:hyperlink>
    </w:p>
    <w:p>
      <w:pPr>
        <w:pStyle w:val="Compact"/>
        <w:numPr>
          <w:ilvl w:val="0"/>
          <w:numId w:val="1011"/>
        </w:numPr>
      </w:pPr>
      <w:r>
        <w:t xml:space="preserve">Air Products.</w:t>
      </w:r>
      <w:r>
        <w:t xml:space="preserve"> </w:t>
      </w:r>
      <w:r>
        <w:rPr>
          <w:i/>
          <w:iCs/>
        </w:rPr>
        <w:t xml:space="preserve">Pharma Packaging Inerting/Blanketing.</w:t>
      </w:r>
      <w:r>
        <w:t xml:space="preserve"> </w:t>
      </w:r>
      <w:hyperlink r:id="rId70">
        <w:r>
          <w:rPr>
            <w:rStyle w:val="Hyperlink"/>
          </w:rPr>
          <w:t xml:space="preserve">airproducts.com</w:t>
        </w:r>
      </w:hyperlink>
    </w:p>
    <w:p>
      <w:pPr>
        <w:pStyle w:val="Compact"/>
        <w:numPr>
          <w:ilvl w:val="0"/>
          <w:numId w:val="1011"/>
        </w:numPr>
      </w:pPr>
      <w:r>
        <w:t xml:space="preserve">MVS Engineering.</w:t>
      </w:r>
      <w:r>
        <w:t xml:space="preserve"> </w:t>
      </w:r>
      <w:r>
        <w:rPr>
          <w:i/>
          <w:iCs/>
        </w:rPr>
        <w:t xml:space="preserve">Nitrogen in Pharma.</w:t>
      </w:r>
      <w:r>
        <w:t xml:space="preserve"> </w:t>
      </w:r>
      <w:hyperlink r:id="rId71">
        <w:r>
          <w:rPr>
            <w:rStyle w:val="Hyperlink"/>
          </w:rPr>
          <w:t xml:space="preserve">mvsengg.com</w:t>
        </w:r>
      </w:hyperlink>
    </w:p>
    <w:p>
      <w:pPr>
        <w:pStyle w:val="Compact"/>
        <w:numPr>
          <w:ilvl w:val="0"/>
          <w:numId w:val="1011"/>
        </w:numPr>
      </w:pPr>
      <w:r>
        <w:t xml:space="preserve">Sealed Air.</w:t>
      </w:r>
      <w:r>
        <w:t xml:space="preserve"> </w:t>
      </w:r>
      <w:r>
        <w:rPr>
          <w:i/>
          <w:iCs/>
        </w:rPr>
        <w:t xml:space="preserve">CRYOVAC MAP Trays.</w:t>
      </w:r>
      <w:r>
        <w:t xml:space="preserve"> </w:t>
      </w:r>
      <w:hyperlink r:id="rId72">
        <w:r>
          <w:rPr>
            <w:rStyle w:val="Hyperlink"/>
          </w:rPr>
          <w:t xml:space="preserve">sealedair.com</w:t>
        </w:r>
      </w:hyperlink>
    </w:p>
    <w:p>
      <w:pPr>
        <w:pStyle w:val="Compact"/>
        <w:numPr>
          <w:ilvl w:val="0"/>
          <w:numId w:val="1011"/>
        </w:numPr>
      </w:pPr>
      <w:r>
        <w:t xml:space="preserve">Manufacturing.net.</w:t>
      </w:r>
      <w:r>
        <w:t xml:space="preserve"> </w:t>
      </w:r>
      <w:r>
        <w:rPr>
          <w:i/>
          <w:iCs/>
        </w:rPr>
        <w:t xml:space="preserve">Nitrogen Blanketing of Edible Oils.</w:t>
      </w:r>
      <w:r>
        <w:t xml:space="preserve"> </w:t>
      </w:r>
      <w:hyperlink r:id="rId73">
        <w:r>
          <w:rPr>
            <w:rStyle w:val="Hyperlink"/>
          </w:rPr>
          <w:t xml:space="preserve">manufacturing.net</w:t>
        </w:r>
      </w:hyperlink>
    </w:p>
    <w:bookmarkEnd w:id="74"/>
    <w:bookmarkStart w:id="78" w:name="патенты-ближайшие-для-патентного-поиска"/>
    <w:p>
      <w:pPr>
        <w:pStyle w:val="Heading3"/>
      </w:pPr>
      <w:r>
        <w:t xml:space="preserve">Патенты (ближайшие, для патентного поиска)</w:t>
      </w:r>
    </w:p>
    <w:p>
      <w:pPr>
        <w:pStyle w:val="Compact"/>
        <w:numPr>
          <w:ilvl w:val="0"/>
          <w:numId w:val="1012"/>
        </w:numPr>
      </w:pPr>
      <w:r>
        <w:t xml:space="preserve">US5659932A — Burial capsule with inert gas.</w:t>
      </w:r>
      <w:r>
        <w:t xml:space="preserve"> </w:t>
      </w:r>
      <w:hyperlink r:id="rId75">
        <w:r>
          <w:rPr>
            <w:rStyle w:val="Hyperlink"/>
          </w:rPr>
          <w:t xml:space="preserve">patents.google.com</w:t>
        </w:r>
      </w:hyperlink>
    </w:p>
    <w:p>
      <w:pPr>
        <w:pStyle w:val="Compact"/>
        <w:numPr>
          <w:ilvl w:val="0"/>
          <w:numId w:val="1012"/>
        </w:numPr>
      </w:pPr>
      <w:r>
        <w:t xml:space="preserve">US7723701B1 — Specimen preservation.</w:t>
      </w:r>
      <w:r>
        <w:t xml:space="preserve"> </w:t>
      </w:r>
      <w:hyperlink r:id="rId76">
        <w:r>
          <w:rPr>
            <w:rStyle w:val="Hyperlink"/>
          </w:rPr>
          <w:t xml:space="preserve">patents.google.com</w:t>
        </w:r>
      </w:hyperlink>
    </w:p>
    <w:p>
      <w:pPr>
        <w:pStyle w:val="Compact"/>
        <w:numPr>
          <w:ilvl w:val="0"/>
          <w:numId w:val="1012"/>
        </w:numPr>
      </w:pPr>
      <w:r>
        <w:t xml:space="preserve">CN203497420U — Vacuum bag для авточехла (без газа).</w:t>
      </w:r>
      <w:r>
        <w:t xml:space="preserve"> </w:t>
      </w:r>
      <w:hyperlink r:id="rId77">
        <w:r>
          <w:rPr>
            <w:rStyle w:val="Hyperlink"/>
          </w:rPr>
          <w:t xml:space="preserve">patents.google.com</w:t>
        </w:r>
      </w:hyperlink>
    </w:p>
    <w:bookmarkEnd w:id="78"/>
    <w:bookmarkStart w:id="81" w:name="рынок"/>
    <w:p>
      <w:pPr>
        <w:pStyle w:val="Heading3"/>
      </w:pPr>
      <w:r>
        <w:t xml:space="preserve">Рынок</w:t>
      </w:r>
    </w:p>
    <w:p>
      <w:pPr>
        <w:pStyle w:val="Compact"/>
        <w:numPr>
          <w:ilvl w:val="0"/>
          <w:numId w:val="1013"/>
        </w:numPr>
      </w:pPr>
      <w:r>
        <w:t xml:space="preserve">MarketsAndMarkets.</w:t>
      </w:r>
      <w:r>
        <w:t xml:space="preserve"> </w:t>
      </w:r>
      <w:r>
        <w:rPr>
          <w:i/>
          <w:iCs/>
        </w:rPr>
        <w:t xml:space="preserve">Top Food Packaging Companies.</w:t>
      </w:r>
      <w:r>
        <w:t xml:space="preserve"> </w:t>
      </w:r>
      <w:hyperlink r:id="rId79">
        <w:r>
          <w:rPr>
            <w:rStyle w:val="Hyperlink"/>
          </w:rPr>
          <w:t xml:space="preserve">marketsandmarkets.com</w:t>
        </w:r>
      </w:hyperlink>
    </w:p>
    <w:p>
      <w:pPr>
        <w:pStyle w:val="Compact"/>
        <w:numPr>
          <w:ilvl w:val="0"/>
          <w:numId w:val="1013"/>
        </w:numPr>
      </w:pPr>
      <w:r>
        <w:t xml:space="preserve">Hagerty Insurance Annual Reports — collector-car market.</w:t>
      </w:r>
    </w:p>
    <w:p>
      <w:pPr>
        <w:pStyle w:val="Compact"/>
        <w:numPr>
          <w:ilvl w:val="0"/>
          <w:numId w:val="1013"/>
        </w:numPr>
      </w:pPr>
      <w:r>
        <w:t xml:space="preserve">AMARG (309th Aerospace Maintenance and Regeneration Group).</w:t>
      </w:r>
      <w:r>
        <w:t xml:space="preserve"> </w:t>
      </w:r>
      <w:hyperlink r:id="rId80">
        <w:r>
          <w:rPr>
            <w:rStyle w:val="Hyperlink"/>
          </w:rPr>
          <w:t xml:space="preserve">airandspaceforces.com</w:t>
        </w:r>
      </w:hyperlink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d80f96c7397dc80e58af847b5340ce379b09bc1"/>
    <w:p>
      <w:pPr>
        <w:pStyle w:val="Heading2"/>
      </w:pPr>
      <w:r>
        <w:t xml:space="preserve">10. Что в исходном файле было неверно (для внутреннего использования)</w:t>
      </w:r>
    </w:p>
    <w:p>
      <w:pPr>
        <w:pStyle w:val="FirstParagraph"/>
      </w:pPr>
      <w:r>
        <w:t xml:space="preserve">В диалоге Аслана с ChatGPT от 2026-05-04 модель сгенерировала ряд</w:t>
      </w:r>
      <w:r>
        <w:t xml:space="preserve"> </w:t>
      </w:r>
      <w:r>
        <w:rPr>
          <w:b/>
          <w:bCs/>
        </w:rPr>
        <w:t xml:space="preserve">галлюцинаций</w:t>
      </w:r>
      <w:r>
        <w:t xml:space="preserve"> </w:t>
      </w:r>
      <w:r>
        <w:t xml:space="preserve">— выдуманных авторов и работ, которые проверить невозможно:</w:t>
      </w:r>
    </w:p>
    <w:p>
      <w:pPr>
        <w:pStyle w:val="Compact"/>
        <w:numPr>
          <w:ilvl w:val="0"/>
          <w:numId w:val="1014"/>
        </w:numPr>
      </w:pPr>
      <w:r>
        <w:t xml:space="preserve">❌ «Stenmarck, Å., Jensen, C., Quested, T., Moates, G. (2017). Environmental impact of packaging and food losses in a life cycle perspective.» — реальной публикации с такими авторами и точно таким названием в открытых источниках не найдено.</w:t>
      </w:r>
    </w:p>
    <w:p>
      <w:pPr>
        <w:pStyle w:val="Compact"/>
        <w:numPr>
          <w:ilvl w:val="0"/>
          <w:numId w:val="1014"/>
        </w:numPr>
      </w:pPr>
      <w:r>
        <w:t xml:space="preserve">❌ «Jong, P. (2019). Innovative Food Preservation Technologies and Their Potential Applications in the Food Industry.» — не находится.</w:t>
      </w:r>
    </w:p>
    <w:p>
      <w:pPr>
        <w:pStyle w:val="Compact"/>
        <w:numPr>
          <w:ilvl w:val="0"/>
          <w:numId w:val="1014"/>
        </w:numPr>
      </w:pPr>
      <w:r>
        <w:t xml:space="preserve">❌ «David Harris. Protective Atmospheres for Food Preservation» — автор и работа не идентифицируются.</w:t>
      </w:r>
    </w:p>
    <w:p>
      <w:pPr>
        <w:pStyle w:val="Compact"/>
        <w:numPr>
          <w:ilvl w:val="0"/>
          <w:numId w:val="1014"/>
        </w:numPr>
      </w:pPr>
      <w:r>
        <w:t xml:space="preserve">❌ «Robert Johnson. Inert Gases: At the Vanguard of Modern Medicine and Technology» — не идентифицируется.</w:t>
      </w:r>
    </w:p>
    <w:p>
      <w:pPr>
        <w:pStyle w:val="Compact"/>
        <w:numPr>
          <w:ilvl w:val="0"/>
          <w:numId w:val="1014"/>
        </w:numPr>
      </w:pPr>
      <w:r>
        <w:t xml:space="preserve">❌ Рекомендация ксенона/криптона как практичного наполнителя — экономически невозможно.</w:t>
      </w:r>
    </w:p>
    <w:p>
      <w:pPr>
        <w:pStyle w:val="Compact"/>
        <w:numPr>
          <w:ilvl w:val="0"/>
          <w:numId w:val="1014"/>
        </w:numPr>
      </w:pPr>
      <w:r>
        <w:t xml:space="preserve">❌ Толщины 50–150 мкм без указания фольгированного ламината — недостаточно для долгосрочного хранения.</w:t>
      </w:r>
    </w:p>
    <w:p>
      <w:pPr>
        <w:pStyle w:val="FirstParagraph"/>
      </w:pPr>
      <w:r>
        <w:rPr>
          <w:b/>
          <w:bCs/>
        </w:rPr>
        <w:t xml:space="preserve">Эти источники во внешних материалах не использовать.</w:t>
      </w:r>
      <w:r>
        <w:t xml:space="preserve"> </w:t>
      </w:r>
      <w:r>
        <w:t xml:space="preserve">Заменены реальными в разделе 9.</w:t>
      </w:r>
    </w:p>
    <w:p>
      <w:r>
        <w:pict>
          <v:rect style="width:0;height:1.5pt" o:hralign="center" o:hrstd="t" o:hr="t"/>
        </w:pict>
      </w:r>
    </w:p>
    <w:bookmarkEnd w:id="83"/>
    <w:bookmarkStart w:id="88" w:name="план-работ-что-дальше"/>
    <w:p>
      <w:pPr>
        <w:pStyle w:val="Heading2"/>
      </w:pPr>
      <w:r>
        <w:t xml:space="preserve">11. План работ — что дальше</w:t>
      </w:r>
    </w:p>
    <w:bookmarkStart w:id="84" w:name="этап-1-подготовка-12-месяца"/>
    <w:p>
      <w:pPr>
        <w:pStyle w:val="Heading3"/>
      </w:pPr>
      <w:r>
        <w:t xml:space="preserve">Этап 1: Подготовка (1–2 месяца)</w:t>
      </w:r>
    </w:p>
    <w:p>
      <w:pPr>
        <w:pStyle w:val="Compact"/>
        <w:numPr>
          <w:ilvl w:val="0"/>
          <w:numId w:val="1015"/>
        </w:numPr>
      </w:pPr>
      <w:r>
        <w:t xml:space="preserve">Финализировать техническую справку (этот документ — v1, доработать с экспертами).</w:t>
      </w:r>
    </w:p>
    <w:p>
      <w:pPr>
        <w:pStyle w:val="Compact"/>
        <w:numPr>
          <w:ilvl w:val="0"/>
          <w:numId w:val="1016"/>
        </w:numPr>
      </w:pPr>
      <w:r>
        <w:t xml:space="preserve">Юридическая проверка патентной чистоты в патентных поверенных РФ + PCT.</w:t>
      </w:r>
    </w:p>
    <w:p>
      <w:pPr>
        <w:pStyle w:val="Compact"/>
        <w:numPr>
          <w:ilvl w:val="0"/>
          <w:numId w:val="1017"/>
        </w:numPr>
      </w:pPr>
      <w:r>
        <w:t xml:space="preserve">Подача провизорной патентной заявки ЕАЭС.</w:t>
      </w:r>
    </w:p>
    <w:p>
      <w:pPr>
        <w:pStyle w:val="Compact"/>
        <w:numPr>
          <w:ilvl w:val="0"/>
          <w:numId w:val="1018"/>
        </w:numPr>
      </w:pPr>
      <w:r>
        <w:t xml:space="preserve">Поиск производителя foil-laminate в РФ/Казахстане (Микроласт, Биаксплен, Полипак).</w:t>
      </w:r>
    </w:p>
    <w:p>
      <w:pPr>
        <w:pStyle w:val="Compact"/>
        <w:numPr>
          <w:ilvl w:val="0"/>
          <w:numId w:val="1019"/>
        </w:numPr>
      </w:pPr>
      <w:r>
        <w:t xml:space="preserve">Поиск поставщика IoT-датчиков O₂ (Sensirion, Honeywell, российские «Интех»).</w:t>
      </w:r>
    </w:p>
    <w:bookmarkEnd w:id="84"/>
    <w:bookmarkStart w:id="85" w:name="этап-2-прототип-36-месяцев"/>
    <w:p>
      <w:pPr>
        <w:pStyle w:val="Heading3"/>
      </w:pPr>
      <w:r>
        <w:t xml:space="preserve">Этап 2: Прототип (3–6 месяцев)</w:t>
      </w:r>
    </w:p>
    <w:p>
      <w:pPr>
        <w:pStyle w:val="Compact"/>
        <w:numPr>
          <w:ilvl w:val="0"/>
          <w:numId w:val="1020"/>
        </w:numPr>
      </w:pPr>
      <w:r>
        <w:t xml:space="preserve">Изготовление 3 прототипов:</w:t>
      </w:r>
    </w:p>
    <w:p>
      <w:pPr>
        <w:pStyle w:val="Compact"/>
        <w:numPr>
          <w:ilvl w:val="1"/>
          <w:numId w:val="1021"/>
        </w:numPr>
      </w:pPr>
      <w:r>
        <w:t xml:space="preserve">Гаражная капсула под мотоцикл (тестовая, минимальная).</w:t>
      </w:r>
    </w:p>
    <w:p>
      <w:pPr>
        <w:pStyle w:val="Compact"/>
        <w:numPr>
          <w:ilvl w:val="1"/>
          <w:numId w:val="1021"/>
        </w:numPr>
      </w:pPr>
      <w:r>
        <w:t xml:space="preserve">Архивная капсула под коллекцию монет/документов.</w:t>
      </w:r>
    </w:p>
    <w:p>
      <w:pPr>
        <w:pStyle w:val="Compact"/>
        <w:numPr>
          <w:ilvl w:val="1"/>
          <w:numId w:val="1021"/>
        </w:numPr>
      </w:pPr>
      <w:r>
        <w:t xml:space="preserve">Капсула под слитки золота / часы (премиум).</w:t>
      </w:r>
    </w:p>
    <w:p>
      <w:pPr>
        <w:pStyle w:val="Compact"/>
        <w:numPr>
          <w:ilvl w:val="0"/>
          <w:numId w:val="1022"/>
        </w:numPr>
      </w:pPr>
      <w:r>
        <w:t xml:space="preserve">6-месячный тест: замер O₂ внутри каждый день через IoT-датчик.</w:t>
      </w:r>
    </w:p>
    <w:p>
      <w:pPr>
        <w:pStyle w:val="Compact"/>
        <w:numPr>
          <w:ilvl w:val="0"/>
          <w:numId w:val="1023"/>
        </w:numPr>
      </w:pPr>
      <w:r>
        <w:t xml:space="preserve">Параллельный контрольный образец без инертного газа.</w:t>
      </w:r>
    </w:p>
    <w:bookmarkEnd w:id="85"/>
    <w:bookmarkStart w:id="86" w:name="этап-3-питч-и-продажи-612-месяцев"/>
    <w:p>
      <w:pPr>
        <w:pStyle w:val="Heading3"/>
      </w:pPr>
      <w:r>
        <w:t xml:space="preserve">Этап 3: Питч и продажи (6–12 месяцев)</w:t>
      </w:r>
    </w:p>
    <w:p>
      <w:pPr>
        <w:pStyle w:val="Compact"/>
        <w:numPr>
          <w:ilvl w:val="0"/>
          <w:numId w:val="1024"/>
        </w:numPr>
      </w:pPr>
      <w:r>
        <w:t xml:space="preserve">Презентация для коллекционеров (РФ, ОАЭ, Казахстан).</w:t>
      </w:r>
    </w:p>
    <w:p>
      <w:pPr>
        <w:pStyle w:val="Compact"/>
        <w:numPr>
          <w:ilvl w:val="0"/>
          <w:numId w:val="1025"/>
        </w:numPr>
      </w:pPr>
      <w:r>
        <w:t xml:space="preserve">Тендерные заявки в Росрезерв, Минздрав, Минобороны.</w:t>
      </w:r>
    </w:p>
    <w:p>
      <w:pPr>
        <w:pStyle w:val="Compact"/>
        <w:numPr>
          <w:ilvl w:val="0"/>
          <w:numId w:val="1026"/>
        </w:numPr>
      </w:pPr>
      <w:r>
        <w:t xml:space="preserve">Переговоры с музеями (ГИМ, Эрмитаж, ГМИИ).</w:t>
      </w:r>
    </w:p>
    <w:p>
      <w:pPr>
        <w:pStyle w:val="Compact"/>
        <w:numPr>
          <w:ilvl w:val="0"/>
          <w:numId w:val="1027"/>
        </w:numPr>
      </w:pPr>
      <w:r>
        <w:t xml:space="preserve">Возможная партнёрская модель с Mitsubishi Gas Chemical (поставка O₂-абсорберов как OEM).</w:t>
      </w:r>
    </w:p>
    <w:bookmarkEnd w:id="86"/>
    <w:bookmarkStart w:id="87" w:name="этап-4-серия-12-месяцев"/>
    <w:p>
      <w:pPr>
        <w:pStyle w:val="Heading3"/>
      </w:pPr>
      <w:r>
        <w:t xml:space="preserve">Этап 4: Серия (12+ месяцев)</w:t>
      </w:r>
    </w:p>
    <w:p>
      <w:pPr>
        <w:pStyle w:val="Compact"/>
        <w:numPr>
          <w:ilvl w:val="0"/>
          <w:numId w:val="1028"/>
        </w:numPr>
      </w:pPr>
      <w:r>
        <w:t xml:space="preserve">Выход в серийное производство в РФ.</w:t>
      </w:r>
    </w:p>
    <w:p>
      <w:pPr>
        <w:pStyle w:val="Compact"/>
        <w:numPr>
          <w:ilvl w:val="0"/>
          <w:numId w:val="1029"/>
        </w:numPr>
      </w:pPr>
      <w:r>
        <w:t xml:space="preserve">Расширение линейки (винные капсулы, премиум-сегмент).</w:t>
      </w:r>
    </w:p>
    <w:p>
      <w:pPr>
        <w:pStyle w:val="Compact"/>
        <w:numPr>
          <w:ilvl w:val="0"/>
          <w:numId w:val="1030"/>
        </w:numPr>
      </w:pPr>
      <w:r>
        <w:t xml:space="preserve">Экспорт в ОАЭ, Саудовскую Аравию, Сингапур, Гонконг, Швейцарию (рынки коллекционных авто и часов).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актуализируется. Версия 1.0 от 2026-05-08.</w:t>
      </w:r>
    </w:p>
    <w:p>
      <w:pPr>
        <w:pStyle w:val="BodyText"/>
      </w:pPr>
      <w:r>
        <w:t xml:space="preserve">Контакты заказчика: Аслан КАА · idriskaaa@gmail.com · aslankaa.com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://docs.cntd.ru/document/1200004940" TargetMode="External" /><Relationship Type="http://schemas.openxmlformats.org/officeDocument/2006/relationships/hyperlink" Id="rId61" Target="https://apistoragebags.com/" TargetMode="External" /><Relationship Type="http://schemas.openxmlformats.org/officeDocument/2006/relationships/hyperlink" Id="rId51" Target="https://camphill.leidos.com/code_lookup.nsf/methods?OpenPage=" TargetMode="External" /><Relationship Type="http://schemas.openxmlformats.org/officeDocument/2006/relationships/hyperlink" Id="rId63" Target="https://carcapsule.com/showcase/" TargetMode="External" /><Relationship Type="http://schemas.openxmlformats.org/officeDocument/2006/relationships/hyperlink" Id="rId24" Target="https://conservationsupportsystems.com/product/show/ageless-rp-system-type-an/oxygen-absorbers-mitsubishi-ageless-rp" TargetMode="External" /><Relationship Type="http://schemas.openxmlformats.org/officeDocument/2006/relationships/hyperlink" Id="rId59" Target="https://daubertcromwell.com/products/military-packaging/" TargetMode="External" /><Relationship Type="http://schemas.openxmlformats.org/officeDocument/2006/relationships/hyperlink" Id="rId55" Target="https://docs.cntd.ru/document/1200006220" TargetMode="External" /><Relationship Type="http://schemas.openxmlformats.org/officeDocument/2006/relationships/hyperlink" Id="rId43" Target="https://museumpests.net/solutions-nitrogenargon-gas-treatment/" TargetMode="External" /><Relationship Type="http://schemas.openxmlformats.org/officeDocument/2006/relationships/hyperlink" Id="rId77" Target="https://patents.google.com/patent/CN203497420U/en" TargetMode="External" /><Relationship Type="http://schemas.openxmlformats.org/officeDocument/2006/relationships/hyperlink" Id="rId75" Target="https://patents.google.com/patent/US5659932A/en" TargetMode="External" /><Relationship Type="http://schemas.openxmlformats.org/officeDocument/2006/relationships/hyperlink" Id="rId76" Target="https://patents.google.com/patent/US7723701B1/en" TargetMode="External" /><Relationship Type="http://schemas.openxmlformats.org/officeDocument/2006/relationships/hyperlink" Id="rId50" Target="https://s3vi.ndc.nasa.gov/ssri-kb/static/resources/MIL-STD-2073_1E_CHG-4.pdf" TargetMode="External" /><Relationship Type="http://schemas.openxmlformats.org/officeDocument/2006/relationships/hyperlink" Id="rId66" Target="https://ssr-performance.de/car-storage/?lang=en" TargetMode="External" /><Relationship Type="http://schemas.openxmlformats.org/officeDocument/2006/relationships/hyperlink" Id="rId69" Target="https://uk.airliquide.com/solutions/modified-atmosphere-packaging-map" TargetMode="External" /><Relationship Type="http://schemas.openxmlformats.org/officeDocument/2006/relationships/hyperlink" Id="rId18" Target="https://www.3dbarrierbags.com/our-products/mil-prf-131/" TargetMode="External" /><Relationship Type="http://schemas.openxmlformats.org/officeDocument/2006/relationships/hyperlink" Id="rId52" Target="https://www.3dbarrierbags.com/our-products/mil-prf-81705/" TargetMode="External" /><Relationship Type="http://schemas.openxmlformats.org/officeDocument/2006/relationships/hyperlink" Id="rId80" Target="https://www.airandspaceforces.com/article/0213boneyard/" TargetMode="External" /><Relationship Type="http://schemas.openxmlformats.org/officeDocument/2006/relationships/hyperlink" Id="rId70" Target="https://www.airproducts.com/applications/packaging-inerting-blanketing-pharmaceuticals" TargetMode="External" /><Relationship Type="http://schemas.openxmlformats.org/officeDocument/2006/relationships/hyperlink" Id="rId40" Target="https://www.archives.gov/press/press-kits/charters.html" TargetMode="External" /><Relationship Type="http://schemas.openxmlformats.org/officeDocument/2006/relationships/hyperlink" Id="rId65" Target="https://www.autopyjama.com/permabag-engl/cars/" TargetMode="External" /><Relationship Type="http://schemas.openxmlformats.org/officeDocument/2006/relationships/hyperlink" Id="rId64" Target="https://www.carcoon.com/" TargetMode="External" /><Relationship Type="http://schemas.openxmlformats.org/officeDocument/2006/relationships/hyperlink" Id="rId44" Target="https://www.conservation-wiki.com/wiki/Anoxia" TargetMode="External" /><Relationship Type="http://schemas.openxmlformats.org/officeDocument/2006/relationships/hyperlink" Id="rId68" Target="https://www.coravin.com/blogs/community/why-argon-gas-is-the-best-wine-preserver" TargetMode="External" /><Relationship Type="http://schemas.openxmlformats.org/officeDocument/2006/relationships/hyperlink" Id="rId58" Target="https://www.cortecvci.com/Publications/Papers/VCI_and_Nitrogen_Bavarian_paper_5450.pdf" TargetMode="External" /><Relationship Type="http://schemas.openxmlformats.org/officeDocument/2006/relationships/hyperlink" Id="rId57" Target="https://www.cortecvci.com/cortec-vci-films/" TargetMode="External" /><Relationship Type="http://schemas.openxmlformats.org/officeDocument/2006/relationships/hyperlink" Id="rId39" Target="https://www.getty.edu/conservation/publications_resources/pdf_publications/pdf/oxygenfree.pdf" TargetMode="External" /><Relationship Type="http://schemas.openxmlformats.org/officeDocument/2006/relationships/hyperlink" Id="rId48" Target="https://www.impakcorporation.com/Articles/About-IMPAK" TargetMode="External" /><Relationship Type="http://schemas.openxmlformats.org/officeDocument/2006/relationships/hyperlink" Id="rId42" Target="https://www.loc.gov/preservation/scientists/projects/anoxic_cases.html" TargetMode="External" /><Relationship Type="http://schemas.openxmlformats.org/officeDocument/2006/relationships/hyperlink" Id="rId73" Target="https://www.manufacturing.net/operations/article/13183952/nitrogen-blanketing-of-edible-oils-part-i" TargetMode="External" /><Relationship Type="http://schemas.openxmlformats.org/officeDocument/2006/relationships/hyperlink" Id="rId79" Target="https://www.marketsandmarkets.com/ResearchInsight/food-packaging-market.asp" TargetMode="External" /><Relationship Type="http://schemas.openxmlformats.org/officeDocument/2006/relationships/hyperlink" Id="rId22" Target="https://www.mgc.co.jp/eng/products/sc/ageless/" TargetMode="External" /><Relationship Type="http://schemas.openxmlformats.org/officeDocument/2006/relationships/hyperlink" Id="rId23" Target="https://www.mgcs.com.sg/pharmakeep" TargetMode="External" /><Relationship Type="http://schemas.openxmlformats.org/officeDocument/2006/relationships/hyperlink" Id="rId71" Target="https://www.mvsengg.com/blog/nitrogen-is-widely-used-in-the-pharma-industry-for-blanketing-handling-and-packaging/" TargetMode="External" /><Relationship Type="http://schemas.openxmlformats.org/officeDocument/2006/relationships/hyperlink" Id="rId41" Target="https://www.nist.gov/preserving-past/historical-documents/using-science-preserve-americas-founding-documents" TargetMode="External" /><Relationship Type="http://schemas.openxmlformats.org/officeDocument/2006/relationships/hyperlink" Id="rId53" Target="https://www.roycopackaging.com/blogs/news/mil-dtl-117-barrier-bags-explained-military-packaging-specifications-and-applications" TargetMode="External" /><Relationship Type="http://schemas.openxmlformats.org/officeDocument/2006/relationships/hyperlink" Id="rId72" Target="https://www.sealedair.com/products/food-packaging/preformed-rigid-trays/map-trays" TargetMode="External" /><Relationship Type="http://schemas.openxmlformats.org/officeDocument/2006/relationships/hyperlink" Id="rId47" Target="https://www.sorbentsystems.com/mylar.html" TargetMode="External" /><Relationship Type="http://schemas.openxmlformats.org/officeDocument/2006/relationships/hyperlink" Id="rId46" Target="https://www.talasonline.com/Mitsubishi-Oxygen-Absorber-RP-A-RP-K" TargetMode="External" /><Relationship Type="http://schemas.openxmlformats.org/officeDocument/2006/relationships/hyperlink" Id="rId60" Target="https://www.zerustproducts.com/products/firearms-ammo-weapons/vci-gun-storage-bag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://docs.cntd.ru/document/1200004940" TargetMode="External" /><Relationship Type="http://schemas.openxmlformats.org/officeDocument/2006/relationships/hyperlink" Id="rId61" Target="https://apistoragebags.com/" TargetMode="External" /><Relationship Type="http://schemas.openxmlformats.org/officeDocument/2006/relationships/hyperlink" Id="rId51" Target="https://camphill.leidos.com/code_lookup.nsf/methods?OpenPage=" TargetMode="External" /><Relationship Type="http://schemas.openxmlformats.org/officeDocument/2006/relationships/hyperlink" Id="rId63" Target="https://carcapsule.com/showcase/" TargetMode="External" /><Relationship Type="http://schemas.openxmlformats.org/officeDocument/2006/relationships/hyperlink" Id="rId24" Target="https://conservationsupportsystems.com/product/show/ageless-rp-system-type-an/oxygen-absorbers-mitsubishi-ageless-rp" TargetMode="External" /><Relationship Type="http://schemas.openxmlformats.org/officeDocument/2006/relationships/hyperlink" Id="rId59" Target="https://daubertcromwell.com/products/military-packaging/" TargetMode="External" /><Relationship Type="http://schemas.openxmlformats.org/officeDocument/2006/relationships/hyperlink" Id="rId55" Target="https://docs.cntd.ru/document/1200006220" TargetMode="External" /><Relationship Type="http://schemas.openxmlformats.org/officeDocument/2006/relationships/hyperlink" Id="rId43" Target="https://museumpests.net/solutions-nitrogenargon-gas-treatment/" TargetMode="External" /><Relationship Type="http://schemas.openxmlformats.org/officeDocument/2006/relationships/hyperlink" Id="rId77" Target="https://patents.google.com/patent/CN203497420U/en" TargetMode="External" /><Relationship Type="http://schemas.openxmlformats.org/officeDocument/2006/relationships/hyperlink" Id="rId75" Target="https://patents.google.com/patent/US5659932A/en" TargetMode="External" /><Relationship Type="http://schemas.openxmlformats.org/officeDocument/2006/relationships/hyperlink" Id="rId76" Target="https://patents.google.com/patent/US7723701B1/en" TargetMode="External" /><Relationship Type="http://schemas.openxmlformats.org/officeDocument/2006/relationships/hyperlink" Id="rId50" Target="https://s3vi.ndc.nasa.gov/ssri-kb/static/resources/MIL-STD-2073_1E_CHG-4.pdf" TargetMode="External" /><Relationship Type="http://schemas.openxmlformats.org/officeDocument/2006/relationships/hyperlink" Id="rId66" Target="https://ssr-performance.de/car-storage/?lang=en" TargetMode="External" /><Relationship Type="http://schemas.openxmlformats.org/officeDocument/2006/relationships/hyperlink" Id="rId69" Target="https://uk.airliquide.com/solutions/modified-atmosphere-packaging-map" TargetMode="External" /><Relationship Type="http://schemas.openxmlformats.org/officeDocument/2006/relationships/hyperlink" Id="rId18" Target="https://www.3dbarrierbags.com/our-products/mil-prf-131/" TargetMode="External" /><Relationship Type="http://schemas.openxmlformats.org/officeDocument/2006/relationships/hyperlink" Id="rId52" Target="https://www.3dbarrierbags.com/our-products/mil-prf-81705/" TargetMode="External" /><Relationship Type="http://schemas.openxmlformats.org/officeDocument/2006/relationships/hyperlink" Id="rId80" Target="https://www.airandspaceforces.com/article/0213boneyard/" TargetMode="External" /><Relationship Type="http://schemas.openxmlformats.org/officeDocument/2006/relationships/hyperlink" Id="rId70" Target="https://www.airproducts.com/applications/packaging-inerting-blanketing-pharmaceuticals" TargetMode="External" /><Relationship Type="http://schemas.openxmlformats.org/officeDocument/2006/relationships/hyperlink" Id="rId40" Target="https://www.archives.gov/press/press-kits/charters.html" TargetMode="External" /><Relationship Type="http://schemas.openxmlformats.org/officeDocument/2006/relationships/hyperlink" Id="rId65" Target="https://www.autopyjama.com/permabag-engl/cars/" TargetMode="External" /><Relationship Type="http://schemas.openxmlformats.org/officeDocument/2006/relationships/hyperlink" Id="rId64" Target="https://www.carcoon.com/" TargetMode="External" /><Relationship Type="http://schemas.openxmlformats.org/officeDocument/2006/relationships/hyperlink" Id="rId44" Target="https://www.conservation-wiki.com/wiki/Anoxia" TargetMode="External" /><Relationship Type="http://schemas.openxmlformats.org/officeDocument/2006/relationships/hyperlink" Id="rId68" Target="https://www.coravin.com/blogs/community/why-argon-gas-is-the-best-wine-preserver" TargetMode="External" /><Relationship Type="http://schemas.openxmlformats.org/officeDocument/2006/relationships/hyperlink" Id="rId58" Target="https://www.cortecvci.com/Publications/Papers/VCI_and_Nitrogen_Bavarian_paper_5450.pdf" TargetMode="External" /><Relationship Type="http://schemas.openxmlformats.org/officeDocument/2006/relationships/hyperlink" Id="rId57" Target="https://www.cortecvci.com/cortec-vci-films/" TargetMode="External" /><Relationship Type="http://schemas.openxmlformats.org/officeDocument/2006/relationships/hyperlink" Id="rId39" Target="https://www.getty.edu/conservation/publications_resources/pdf_publications/pdf/oxygenfree.pdf" TargetMode="External" /><Relationship Type="http://schemas.openxmlformats.org/officeDocument/2006/relationships/hyperlink" Id="rId48" Target="https://www.impakcorporation.com/Articles/About-IMPAK" TargetMode="External" /><Relationship Type="http://schemas.openxmlformats.org/officeDocument/2006/relationships/hyperlink" Id="rId42" Target="https://www.loc.gov/preservation/scientists/projects/anoxic_cases.html" TargetMode="External" /><Relationship Type="http://schemas.openxmlformats.org/officeDocument/2006/relationships/hyperlink" Id="rId73" Target="https://www.manufacturing.net/operations/article/13183952/nitrogen-blanketing-of-edible-oils-part-i" TargetMode="External" /><Relationship Type="http://schemas.openxmlformats.org/officeDocument/2006/relationships/hyperlink" Id="rId79" Target="https://www.marketsandmarkets.com/ResearchInsight/food-packaging-market.asp" TargetMode="External" /><Relationship Type="http://schemas.openxmlformats.org/officeDocument/2006/relationships/hyperlink" Id="rId22" Target="https://www.mgc.co.jp/eng/products/sc/ageless/" TargetMode="External" /><Relationship Type="http://schemas.openxmlformats.org/officeDocument/2006/relationships/hyperlink" Id="rId23" Target="https://www.mgcs.com.sg/pharmakeep" TargetMode="External" /><Relationship Type="http://schemas.openxmlformats.org/officeDocument/2006/relationships/hyperlink" Id="rId71" Target="https://www.mvsengg.com/blog/nitrogen-is-widely-used-in-the-pharma-industry-for-blanketing-handling-and-packaging/" TargetMode="External" /><Relationship Type="http://schemas.openxmlformats.org/officeDocument/2006/relationships/hyperlink" Id="rId41" Target="https://www.nist.gov/preserving-past/historical-documents/using-science-preserve-americas-founding-documents" TargetMode="External" /><Relationship Type="http://schemas.openxmlformats.org/officeDocument/2006/relationships/hyperlink" Id="rId53" Target="https://www.roycopackaging.com/blogs/news/mil-dtl-117-barrier-bags-explained-military-packaging-specifications-and-applications" TargetMode="External" /><Relationship Type="http://schemas.openxmlformats.org/officeDocument/2006/relationships/hyperlink" Id="rId72" Target="https://www.sealedair.com/products/food-packaging/preformed-rigid-trays/map-trays" TargetMode="External" /><Relationship Type="http://schemas.openxmlformats.org/officeDocument/2006/relationships/hyperlink" Id="rId47" Target="https://www.sorbentsystems.com/mylar.html" TargetMode="External" /><Relationship Type="http://schemas.openxmlformats.org/officeDocument/2006/relationships/hyperlink" Id="rId46" Target="https://www.talasonline.com/Mitsubishi-Oxygen-Absorber-RP-A-RP-K" TargetMode="External" /><Relationship Type="http://schemas.openxmlformats.org/officeDocument/2006/relationships/hyperlink" Id="rId60" Target="https://www.zerustproducts.com/products/firearms-ammo-weapons/vci-gun-storage-bag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2026-05-08T21:12:38Z</dcterms:created>
  <dcterms:modified xsi:type="dcterms:W3CDTF">2026-05-08T21:12:38Z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