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РЕШЕНИЕ</w:t>
      </w:r>
    </w:p>
    <w:p>
      <w:r>
        <w:t>Специализированный межрайонный административный суд города Астана в составе судьи Ахметова А.Б., при секретаре судебного заседания Нұрлан А.А., рассмотрел дело.</w:t>
      </w:r>
    </w:p>
    <w:p>
      <w:r>
        <w:t>Истец подал ходатайтсво в суд ,  в соответствие с законом. Согласно приказа директора оплата не произведена в течении 10 дней.</w:t>
      </w:r>
    </w:p>
    <w:p>
      <w:r>
        <w:t>Талап қоюшы сотқа жүгінді бірақ жауапкер келмеді. Соттын шешімі Кодекстің 5 бабына сәйкес. ҚРның заңы қолданылады.</w:t>
      </w:r>
    </w:p>
    <w:p>
      <w:r>
        <w:t>Действуя в соответствии с законом, суд решил: иск удовлетворить.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