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"Шаблон отчёта по лабораторной работе"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"Выполнение отчета к лабораторной работе 2"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Основная цель работы — изучить несколько структур данных, реализованных в Julia,</w:t>
      </w:r>
    </w:p>
    <w:p>
      <w:pPr>
        <w:pStyle w:val="PreformattedText"/>
        <w:bidi w:val="0"/>
        <w:spacing w:before="0" w:after="0"/>
        <w:jc w:val="left"/>
        <w:rPr/>
      </w:pPr>
      <w:r>
        <w:rPr/>
        <w:t>научиться применять их и операции над ними для решения задач.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 Кортежи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Синтаксис определения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Словари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Примеры словарей и операций над ними: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 Множества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Примеры множеств и операций над ними: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 Массивы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Примеры массивов: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 Задания для самостоятельного выполнения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Приведите свои примеры с выполнением операций над множествами элементов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>разных типов.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![Пример](image/9.PNG)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![Пример](image/10.PNG)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![Пример](image/19.PNG)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![Пример](image/20.PNG)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Решим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Изучил несколько структур данных, реализованных в Julia,</w:t>
      </w:r>
    </w:p>
    <w:p>
      <w:pPr>
        <w:pStyle w:val="PreformattedText"/>
        <w:bidi w:val="0"/>
        <w:spacing w:before="0" w:after="0"/>
        <w:jc w:val="left"/>
        <w:rPr/>
      </w:pPr>
      <w:r>
        <w:rPr/>
        <w:t>научился применять их и операции над ними для решения задач.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