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"Компьютерный практикум по статистическому анализу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№3: Управляющие структуры"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Основная цель работы — освоить применение циклов функций и сторонних для Julia пакетов для решения задач линейной алгебры и работы с матрицами.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Циклы while и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Для различных операций, связанных с перебором индексируемых элементов структур</w:t>
      </w:r>
    </w:p>
    <w:p>
      <w:pPr>
        <w:pStyle w:val="PreformattedText"/>
        <w:bidi w:val="0"/>
        <w:spacing w:before="0" w:after="0"/>
        <w:jc w:val="left"/>
        <w:rPr/>
      </w:pPr>
      <w:r>
        <w:rPr/>
        <w:t>данных, традиционно используются циклы while и for.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Синтаксис while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 Julia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&lt;условие&gt;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&lt;тело цикла&gt;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использования цикла while (рис. [-fig@:001]):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использования цикла while](image/1.PNG){ #fig:001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Такие же результаты можно получить при использование цикла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Синтаксис 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 Julia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&lt;переменная&gt; in &lt;диапазон&gt;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&lt;тело цикла&gt;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использования цикла for (рис. [-fig@:002]):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использования цикла for](image/2.PNG){ #fig:002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использования цикла for для создания двумерного массива, где значение каждой записи является суммой индексов строки и столбца(рис. [-fig@:003]):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![Примеры использования цикла for для создания двумерного массива](image/3.PNG){ #fig:003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Условные выражения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Довольно часто при решении задач требуется проверить выполнение тех или иных</w:t>
      </w:r>
    </w:p>
    <w:p>
      <w:pPr>
        <w:pStyle w:val="PreformattedText"/>
        <w:bidi w:val="0"/>
        <w:spacing w:before="0" w:after="0"/>
        <w:jc w:val="left"/>
        <w:rPr/>
      </w:pPr>
      <w:r>
        <w:rPr/>
        <w:t>условий. Для этого используют условные выражения.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Синтаксис условных выражений с ключевым словом: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```Julia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&lt;условие 1&gt;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&lt;Действие 1&gt;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elseif &lt;Условие 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&lt;Действие 2&gt;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else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&lt;Действие3&gt;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использования условного выражения(рис.[-fig@:004]):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использования условного выражения](image/4.PNG){ #fig:004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Функции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Julia дает нам несколько разных способов написать функцию.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способ написания функции(рис.[-fig@:005]):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способ написания функции](image/5.PNG){ #fig:005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По соглашению в Julia функции, сопровождаемые восклицательным знаком, изменяют</w:t>
      </w:r>
    </w:p>
    <w:p>
      <w:pPr>
        <w:pStyle w:val="PreformattedText"/>
        <w:bidi w:val="0"/>
        <w:spacing w:before="0" w:after="0"/>
        <w:jc w:val="left"/>
        <w:rPr/>
      </w:pPr>
      <w:r>
        <w:rPr/>
        <w:t>свое содержимое, а функции без восклицательного знака не делают этого(рис.[-fig@:006]):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![Сравнение результатов вывода](image/6.PNG){ #fig:006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Julia функция map является функцией высшего порядка, которая принимает функцию</w:t>
      </w:r>
    </w:p>
    <w:p>
      <w:pPr>
        <w:pStyle w:val="PreformattedText"/>
        <w:bidi w:val="0"/>
        <w:spacing w:before="0" w:after="0"/>
        <w:jc w:val="left"/>
        <w:rPr/>
      </w:pPr>
      <w:r>
        <w:rPr/>
        <w:t>в качестве одного из своих входных аргументов и применяет эту функцию к каждому</w:t>
      </w:r>
    </w:p>
    <w:p>
      <w:pPr>
        <w:pStyle w:val="PreformattedText"/>
        <w:bidi w:val="0"/>
        <w:spacing w:before="0" w:after="0"/>
        <w:jc w:val="left"/>
        <w:rPr/>
      </w:pPr>
      <w:r>
        <w:rPr/>
        <w:t>элементу структуры данных, которая ей передаётся также в качестве аргумента.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Функция broadcast — ещё одна функция высшего порядка в Julia, представляющая собой обобщение </w:t>
      </w:r>
    </w:p>
    <w:p>
      <w:pPr>
        <w:pStyle w:val="PreformattedText"/>
        <w:bidi w:val="0"/>
        <w:spacing w:before="0" w:after="0"/>
        <w:jc w:val="left"/>
        <w:rPr/>
      </w:pPr>
      <w:r>
        <w:rPr/>
        <w:t>функции map.Функция broadcast() будет пытаться привести все объекты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>к общему измерению, map() будет напрямую применять данную функцию поэлементно.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использования функций map() и broadcast()(рис.[-fig@:007]):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использования функций map() и broadcast()](image/7.PNG){ #fig:007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Сторонние библиотеки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Julia имеет более 2000 зарегистрированных пакетов, что делает их огромной частью</w:t>
      </w:r>
    </w:p>
    <w:p>
      <w:pPr>
        <w:pStyle w:val="PreformattedText"/>
        <w:bidi w:val="0"/>
        <w:spacing w:before="0" w:after="0"/>
        <w:jc w:val="left"/>
        <w:rPr/>
      </w:pPr>
      <w:r>
        <w:rPr/>
        <w:t>экосистемы Julia. Есть вызовы функций первого класса для других языков, обеспечивающие интерфейсы сторонних функций. Можно вызвать функции из Python или R,</w:t>
      </w:r>
    </w:p>
    <w:p>
      <w:pPr>
        <w:pStyle w:val="PreformattedText"/>
        <w:bidi w:val="0"/>
        <w:spacing w:before="0" w:after="0"/>
        <w:jc w:val="left"/>
        <w:rPr/>
      </w:pPr>
      <w:r>
        <w:rPr/>
        <w:t>например, с помощью PyCall или Rcall.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 перечнем доступных в Julia пакетов можно ознакомиться на страницах следующих</w:t>
      </w:r>
    </w:p>
    <w:p>
      <w:pPr>
        <w:pStyle w:val="PreformattedText"/>
        <w:bidi w:val="0"/>
        <w:spacing w:before="0" w:after="0"/>
        <w:jc w:val="left"/>
        <w:rPr/>
      </w:pPr>
      <w:r>
        <w:rPr/>
        <w:t>ресурсов: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https://julialang.org/packages/</w:t>
      </w:r>
    </w:p>
    <w:p>
      <w:pPr>
        <w:pStyle w:val="PreformattedText"/>
        <w:bidi w:val="0"/>
        <w:spacing w:before="0" w:after="0"/>
        <w:jc w:val="left"/>
        <w:rPr/>
      </w:pPr>
      <w:r>
        <w:rPr/>
        <w:t>- https://juliahub.com/ui/Home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- https://juliaobserver.com/</w:t>
      </w:r>
    </w:p>
    <w:p>
      <w:pPr>
        <w:pStyle w:val="PreformattedText"/>
        <w:bidi w:val="0"/>
        <w:spacing w:before="0" w:after="0"/>
        <w:jc w:val="left"/>
        <w:rPr/>
      </w:pPr>
      <w:r>
        <w:rPr/>
        <w:t>- https://github.com/svaksha/Julia.jl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 первом использовании пакета в вашей текущей установке Julia вам необходимо</w:t>
      </w:r>
    </w:p>
    <w:p>
      <w:pPr>
        <w:pStyle w:val="PreformattedText"/>
        <w:bidi w:val="0"/>
        <w:spacing w:before="0" w:after="0"/>
        <w:jc w:val="left"/>
        <w:rPr/>
      </w:pPr>
      <w:r>
        <w:rPr/>
        <w:t>использовать менеджер пакетов, чтобы явно его добавить: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```Julia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Pkg</w:t>
      </w:r>
    </w:p>
    <w:p>
      <w:pPr>
        <w:pStyle w:val="PreformattedText"/>
        <w:bidi w:val="0"/>
        <w:spacing w:before="0" w:after="0"/>
        <w:jc w:val="left"/>
        <w:rPr/>
      </w:pPr>
      <w:r>
        <w:rPr/>
        <w:t>Pkg.add("Example")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 каждом новом использовании Julia (например, в начале нового сеанса в REPL</w:t>
      </w:r>
    </w:p>
    <w:p>
      <w:pPr>
        <w:pStyle w:val="PreformattedText"/>
        <w:bidi w:val="0"/>
        <w:spacing w:before="0" w:after="0"/>
        <w:jc w:val="left"/>
        <w:rPr/>
      </w:pPr>
      <w:r>
        <w:rPr/>
        <w:t>или открытии блокнота в первый раз) нужно загрузить пакет, используя ключевое слово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Например, добавим и загрузим пакет Colors: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```Julia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Pkg</w:t>
      </w:r>
    </w:p>
    <w:p>
      <w:pPr>
        <w:pStyle w:val="PreformattedText"/>
        <w:bidi w:val="0"/>
        <w:spacing w:before="0" w:after="0"/>
        <w:jc w:val="left"/>
        <w:rPr/>
      </w:pPr>
      <w:r>
        <w:rPr/>
        <w:t>Pkg.add("Colors")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Colors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Затем создадим палитру из 100 разных цветов: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```Julia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palette = distinguishable_colors(100)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А затем определим матрицу 3 × 3 с элементами в форме случайного цвета из палитры,</w:t>
      </w:r>
    </w:p>
    <w:p>
      <w:pPr>
        <w:pStyle w:val="PreformattedText"/>
        <w:bidi w:val="0"/>
        <w:spacing w:before="0" w:after="0"/>
        <w:jc w:val="left"/>
        <w:rPr/>
      </w:pPr>
      <w:r>
        <w:rPr/>
        <w:t>используя функцию rand: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```Julia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rand(palette, 3, 3)</w:t>
      </w:r>
    </w:p>
    <w:p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Пример использвания стронних библиотек (рис.[-fig@:008]):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![Пример использвания стронних библиотек ](image/8.PNG){ #fig:008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Самостоятельная работа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№1 (рис.[-fig@:009] - рис.[-fig@:0012]):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№1](image/9.PNG){ #fig:009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№1](image/10.PNG){ #fig:010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№1](image/11.PNG){ #fig:011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№1](image/12.PNG){ #fig:012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№2 (рис.[-fig@:013]):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№2](image/13.PNG){ #fig:013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№3 (рис.[-fig@:014]):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№3](image/14.PNG){ #fig:014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№4 (рис.[-fig@:015]):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№4](image/15.PNG){ #fig:015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№5 (рис.[-fig@:016]):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№5](image/16.PNG){ #fig:016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№6 (рис.[-fig@:017]):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№6](image/17.PNG){ #fig:017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№7 (рис.[-fig@:018] - рис.[-fig@:019]):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№7](image/18.PNG){ #fig:018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№7](image/19.PNG){ #fig:019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№8 (рис.[-fig@:020] - рис.[-fig@:022]):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№8](image/20.PNG){ #fig:020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№8](image/21.PNG){ #fig:021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№8](image/22.PNG){ #fig:022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№9 (рис.[-fig@:023]):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№9](image/23.PNG){ #fig:023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№10 (рис.[-fig@:024] - рис.[-fig@:025]):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№10](image/24.PNG){ #fig:024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подпунктов задания №10](image/25.PNG){ #fig:025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Выполнения здания №11 (рис.[-fig@:026]):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![Выполнение задания №11](image/26.PNG){ #fig:026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было освоено применение циклов функций и сторонних для Julia пакетов для решения задач линейной алгебры и работы с матрицами.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Mininet: https://mininet.org/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