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"Компьютерный практикум по статистическому анализу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№4: Линейная алгебра"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\usepackage{unicode-math}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\setmathfont{Latin Modern 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является изучение возможностей специализированных пакетов Julia для выполнения и оценки эффективности операций над объектами линейной алгебры.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Поэлементные операции над многомерными массивами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матрицы 4 × 3 рассмотрим поэлементные операции сложения и произведения её элементов (рис. [-fig@:001]):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![Поэлементные операции сложения и произведения элементов матрицы](image/1.PNG){ #fig:001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работы со средними значениями можно воспользоваться возможностями пакета Statistics (рис. [-fig@:002]):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![Использование возможностей пакета Statistics для работы со средними значениями](image/2.PNG){ #fig:002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Транспонирование, след, ранг, определитель и инверсия матрицы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выполнения таких операций над матрицами, как транспонирование, диагонализация, определение следа, ранга, определителя матрицы и т.п. можно воспользоваться библиотекой (пакетом) LinearAlgebra(рис. [-fig@:003] - рис. [-fig@:004] 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![Использование библиотеки LinearAlgebra для выполнения определённых операций](image/3.PNG){ #fig:003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![Использование библиотеки LinearAlgebra для выполнения определённых операций](image/4.PNG){ #fig:004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Вычисление нормы векторов и матриц, повороты, вращения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вычисления нормы используется LinearAlgebra.norm(x) (рис.[-fig@:005]):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![Использование LinearAlgebra.norm(x)](image/5.PNG){ #fig:005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Вычислим нормы для двумерной матрицы (рис.[-fig@:006]):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![Вычисление нормы для двумерной матрицы](image/6.PNG){ #fig:006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Матричное умножение, единичная матрица, скалярное произведение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Выполним примеры матричного умножения, единичной матрицы и скалярного произведения (рис. [-@fig:007]):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матричного умножения, единичной матрицы и скалярного произведения](image/7.PNG){ #fig:007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Факторизация. Специальные матричные структуры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Рассмотрим несколько примеров. Для работы со специальными матричными структурами потребуется пакет LinearAlgebra.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Решение систем линейный алгебраических уравнений 𝐴𝑥 = 𝑏 (рис. [-@fig:008]):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систем линейный алгебраических уравнений 𝐴𝑥 = 𝑏](image/8.PNG){ #fig:008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Julia позволяет вычислять LU-факторизацию и определяет составной тип факторизации для его хранения (рис. [-@fig:009]):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вычисления LU-факторизации и определение составного типа факторизации для его хранения](image/9.PNG){ #fig:009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Исходная система уравнений 𝐴𝑥 = 𝑏 может быть решена или с использованием исходной матрицы, или с использованием объекта факторизации (рис. [-@fig:010]):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решения с использованием исходной матрицы и с использованием объекта факторизации](image/10.PNG){ #fig:010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Julia позволяет вычислять QR-факторизацию и определяет составной тип факторизации для его хранения (рис. [-@fig:011]):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вычисления QR-факторизации и определение составного типа факторизации для его хранения](image/11.PNG){ #fig:011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Примеры собственной декомпозиции матрицы 𝐴 (рис. [-@fig:012]):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собственной декомпозиции матрицы 𝐴](image/12.PNG){ #fig:012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Далее рассмотрим примеры работы с матрицами большой размерности и специальной структуры (рис. [-@fig:013]):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работы с матрицами большой размерности и специальной структуры](image/13.PNG){ #fig:013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добавления шума в симметричную матрицу (матрица уже не будет симметричной) (рис. [-@fig:014]):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добавления шума в симметричную матрицу](image/14.PNG){ #fig:014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Julia можно объявить структуру матрица явно, например, используя Diagonal, Triangular, Symmetric, Hermitian, Tridiagonal и SymTridiagonal (рис. [-@fig:015]):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явного объявления структуры матрицы](image/15.PNG){ #fig:015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Далее для оценки эффективности выполнения операций над матрицами большой размерности и специальной структуры воспользуемся пакетом BenchmarkTools (рис. [-@fig:016]):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![Использование пакета BenchmarkTools](image/16.PNG){ #fig:016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Далее рассмотрим примеры работы с разряженными матрицами большой размерности.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Использование типов Tridiagonal и SymTridiagonal для хранения трёхдиагональных матриц позволяет работать с потенциально очень большими трёхдиагональными матрицами (рис. [-@fig:017]):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работы с разряженными матрицами большой размерности](image/17.PNG){ #fig:017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Общая линейная алгебра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примере показано, как можно решить систему линейных уравнений с рациональными элементами без преобразования в типы элементов с плавающей запятой (для избежания проблемы с переполнением используем BigInt) (рис. [-@fig:018]):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системы линейных уравнений с рациональными элементами без преобразования в типы элементов с плавающей запятой](image/18.PNG){ #fig:018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Самостоятельная работа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"Произведение векторов" (рис.[-fig@:019]):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"Произведение векторов"](image/19.PNG){ #fig:019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задания "Система линеный уравнений" (рис.[-fig@:020] - рис.[-fig@:021]):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"Система линеный уравнений". Пункт 1](image/20.PNG){ #fig:020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"Система линеный уравнений". Пункт 2](image/21.PNG){ #fig:021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задания "Операции с матрицами" (рис.[-fig@:022] - рис.[-fig@:026]):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"Операции с матрицами". Пункт 1](image/22.PNG){ #fig:022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"Операции с матрицами". Пункт 2](image/23.PNG){ #fig:023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"Операции с матрицами". Пункт 2](image/24.PNG){ #fig:024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"Операции с матрицами". Пункт 2](image/25.PNG){ #fig:025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"Операции с матрицами". Пункт 3](image/26.PNG){ #fig:026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задания "Линейные модели экономики" (рис.[-fig@:027]):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"Линейные модели экономики"](image/27.PNG){ #fig:027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были изучены возможности специализированных пакетов Julia для выполнения и оценки эффективности операций над объектами линейной алгебры.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