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"Моделирование сетей передачи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№4: Эмуляция и измерение задержек в глобальных сетях"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Основной целью работы является знакомство с NETEM — инструментом для тестирования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производительности приложений в виртуальной сети, а также получение навыков проведения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интерактивного и воспроизводимого экспериментов по измерению задержки и её дрожания (jitter) </w:t>
      </w:r>
    </w:p>
    <w:p>
      <w:pPr>
        <w:pStyle w:val="PreformattedText"/>
        <w:bidi w:val="0"/>
        <w:spacing w:before="0" w:after="0"/>
        <w:jc w:val="left"/>
        <w:rPr/>
      </w:pPr>
      <w:r>
        <w:rPr/>
        <w:t>в моделируемой сети в среде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На хостах h1 и h2 введём команду ifconfig, чтобы отобразить информацию, относящуюся к их сетевым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интерфейсам и назначенным им IP-адресам. В дальнейшем при работе с NETEM и командой tc </w:t>
      </w:r>
    </w:p>
    <w:p>
      <w:pPr>
        <w:pStyle w:val="PreformattedText"/>
        <w:bidi w:val="0"/>
        <w:spacing w:before="0" w:after="0"/>
        <w:jc w:val="left"/>
        <w:rPr/>
      </w:pPr>
      <w:r>
        <w:rPr/>
        <w:t>будут использоваться интерфейсы h1-eth0 и h2-eth0 (рис. [-@fig:003]):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![Отображение информации их сетевых интерфейсов и IP-адресов](image/1.PNG)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Проверим подключение между хостами h1 и h2 с помощью команды ping с параметром -c 6: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 подключения между хостами](image/2.PNG)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Проверим, что соединение от хоста h1 к хосту h2 имеет задержку 100 мс, используя команду ping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>с параметром -c 6 с хоста h1: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Восстановим конфигурацию по умолчанию, удалив все правила, применённые к сетевому планировщику </w:t>
      </w:r>
    </w:p>
    <w:p>
      <w:pPr>
        <w:pStyle w:val="PreformattedText"/>
        <w:bidi w:val="0"/>
        <w:spacing w:before="0" w:after="0"/>
        <w:jc w:val="left"/>
        <w:rPr/>
      </w:pPr>
      <w:r>
        <w:rPr/>
        <w:t>соответствующего интерфейса: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![Восстановление конфигураций по умолчанию](image/4.PNG)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Добавим на узле h1 задержку в 100 мс со случайным отклонением 10 мс: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![Добавление задержки 100 мс со случайным отклонением на хост h1](image/5.PNG)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Добавим на интерфейсе хоста h1 задержку в 100 мс с вариацией ±10 мс и значением корреляции в 25%.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Убедимся, что все пакеты, покидающие устройство h1 на интерфейсе h1- eth0, будут иметь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время задержки 100 мс со случайным отклонением ±10 мс, при этом время передачи следующего </w:t>
      </w:r>
    </w:p>
    <w:p>
      <w:pPr>
        <w:pStyle w:val="PreformattedText"/>
        <w:bidi w:val="0"/>
        <w:spacing w:before="0" w:after="0"/>
        <w:jc w:val="left"/>
        <w:rPr/>
      </w:pPr>
      <w:r>
        <w:rPr/>
        <w:t>пакета зависит от предыдущего значения на 25%. Используем для этого в терминале хоста h1 команду 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с параметром -c 20: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Убедимся, что все пакеты, покидающие хост h1 на интерфейсе h1-eth0, будут иметь время задержки,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которое распределено в диапазоне 100 мс ±20 мс. Используем для этого команду ping на терминале хоста h1 с параметром </w:t>
      </w:r>
    </w:p>
    <w:p>
      <w:pPr>
        <w:pStyle w:val="PreformattedText"/>
        <w:bidi w:val="0"/>
        <w:spacing w:before="0" w:after="0"/>
        <w:jc w:val="left"/>
        <w:rPr/>
      </w:pPr>
      <w:r>
        <w:rPr/>
        <w:t>-c 10: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Создадим скрипт для эксперимента lab_netem_i.py: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скрипта для эксперимента lab_netem_i.py](image/8.PNG)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Создадим файл ping_plot: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файла ping_plot](image/9.PNG)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Создадим файла Makefile: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![Создание файла Makefile](image/10.PNG)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 Выполним эксперимент: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эксперимента](image/11.PNG)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 Просмотрим построенный в результате выполнения скриптов график: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![Просмотр графика](image/32.PNG)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13. Просмотрим заново построенный график: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![Просмотр графика](image/35.PNG)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ходе выполнения лабораторной работы познакомились с NETEM — инструментом для тестирования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производительности приложений в виртуальной сети, а также получили навыки проведения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интерактивного и воспроизводимого экспериментов по измерению задержки и её дрожания (jitter) </w:t>
      </w:r>
    </w:p>
    <w:p>
      <w:pPr>
        <w:pStyle w:val="PreformattedText"/>
        <w:bidi w:val="0"/>
        <w:spacing w:before="0" w:after="0"/>
        <w:jc w:val="left"/>
        <w:rPr/>
      </w:pPr>
      <w:r>
        <w:rPr/>
        <w:t>в моделируемой сети в среде Mininet.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