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0"/>
      </w:pPr>
      <w:r>
        <w:rPr>
          <w:rFonts w:ascii="Calibri" w:cs="Calibri" w:eastAsia="Calibri" w:hAnsi="Calibri"/>
          <w:b/>
          <w:bCs/>
          <w:color w:val="1F4E79"/>
          <w:sz w:val="36"/>
          <w:szCs w:val="36"/>
        </w:rPr>
        <w:t xml:space="preserve">Screenshot Index — The AI Bidding War (Phase 3)</w:t>
      </w:r>
    </w:p>
    <w:p>
      <w:pPr>
        <w:spacing w:after="60" w:before="0" w:line="300"/>
        <w:jc w:val="left"/>
      </w:pPr>
      <w:r>
        <w:rPr>
          <w:rFonts w:ascii="Calibri" w:cs="Calibri" w:eastAsia="Calibri" w:hAnsi="Calibri"/>
          <w:b/>
          <w:bCs/>
          <w:i w:val="false"/>
          <w:iCs w:val="false"/>
          <w:color w:val="1F4E79"/>
          <w:sz w:val="22"/>
          <w:szCs w:val="22"/>
        </w:rPr>
        <w:t xml:space="preserve">Project: </w:t>
      </w:r>
      <w:r>
        <w:rPr>
          <w:rFonts w:ascii="Calibri" w:cs="Calibri" w:eastAsia="Calibri" w:hAnsi="Calibri"/>
          <w:b w:val="false"/>
          <w:bCs w:val="false"/>
          <w:i w:val="false"/>
          <w:iCs w:val="false"/>
          <w:color w:val="000000"/>
          <w:sz w:val="22"/>
          <w:szCs w:val="22"/>
        </w:rPr>
        <w:t xml:space="preserve">CMU Agentic Systems Studio · Track A · The AI Bidding War</w:t>
      </w:r>
    </w:p>
    <w:p>
      <w:pPr>
        <w:spacing w:after="60" w:before="0" w:line="300"/>
        <w:jc w:val="left"/>
      </w:pPr>
      <w:r>
        <w:rPr>
          <w:rFonts w:ascii="Calibri" w:cs="Calibri" w:eastAsia="Calibri" w:hAnsi="Calibri"/>
          <w:b/>
          <w:bCs/>
          <w:i w:val="false"/>
          <w:iCs w:val="false"/>
          <w:color w:val="1F4E79"/>
          <w:sz w:val="22"/>
          <w:szCs w:val="22"/>
        </w:rPr>
        <w:t xml:space="preserve">Author: </w:t>
      </w:r>
      <w:r>
        <w:rPr>
          <w:rFonts w:ascii="Calibri" w:cs="Calibri" w:eastAsia="Calibri" w:hAnsi="Calibri"/>
          <w:b w:val="false"/>
          <w:bCs w:val="false"/>
          <w:i w:val="false"/>
          <w:iCs w:val="false"/>
          <w:color w:val="000000"/>
          <w:sz w:val="22"/>
          <w:szCs w:val="22"/>
        </w:rPr>
        <w:t xml:space="preserve">Asli Gulcur (solo)</w:t>
      </w:r>
    </w:p>
    <w:p>
      <w:pPr>
        <w:spacing w:after="60" w:before="0" w:line="300"/>
        <w:jc w:val="left"/>
      </w:pPr>
      <w:r>
        <w:rPr>
          <w:rFonts w:ascii="Calibri" w:cs="Calibri" w:eastAsia="Calibri" w:hAnsi="Calibri"/>
          <w:b/>
          <w:bCs/>
          <w:i w:val="false"/>
          <w:iCs w:val="false"/>
          <w:color w:val="1F4E79"/>
          <w:sz w:val="22"/>
          <w:szCs w:val="22"/>
        </w:rPr>
        <w:t xml:space="preserve">Harvest date: </w:t>
      </w:r>
      <w:r>
        <w:rPr>
          <w:rFonts w:ascii="Calibri" w:cs="Calibri" w:eastAsia="Calibri" w:hAnsi="Calibri"/>
          <w:b w:val="false"/>
          <w:bCs w:val="false"/>
          <w:i w:val="false"/>
          <w:iCs w:val="false"/>
          <w:color w:val="000000"/>
          <w:sz w:val="22"/>
          <w:szCs w:val="22"/>
        </w:rPr>
        <w:t xml:space="preserve">2026-04-18</w:t>
      </w:r>
    </w:p>
    <w:p>
      <w:pPr>
        <w:spacing w:after="160" w:before="0" w:line="300"/>
        <w:jc w:val="left"/>
      </w:pPr>
      <w:r>
        <w:rPr>
          <w:rFonts w:ascii="Calibri" w:cs="Calibri" w:eastAsia="Calibri" w:hAnsi="Calibri"/>
          <w:b/>
          <w:bCs/>
          <w:i w:val="false"/>
          <w:iCs w:val="false"/>
          <w:color w:val="1F4E79"/>
          <w:sz w:val="22"/>
          <w:szCs w:val="22"/>
        </w:rPr>
        <w:t xml:space="preserve">Models used: </w:t>
      </w:r>
      <w:r>
        <w:rPr>
          <w:rFonts w:ascii="Calibri" w:cs="Calibri" w:eastAsia="Calibri" w:hAnsi="Calibri"/>
          <w:b w:val="false"/>
          <w:bCs w:val="false"/>
          <w:i w:val="false"/>
          <w:iCs w:val="false"/>
          <w:color w:val="000000"/>
          <w:sz w:val="22"/>
          <w:szCs w:val="22"/>
        </w:rPr>
        <w:t xml:space="preserve">Claude Sonnet 4.6 (buyer, vendors, Strategic Advisor)</w:t>
      </w:r>
    </w:p>
    <w:p>
      <w:pPr>
        <w:spacing w:after="120" w:before="0" w:line="300"/>
        <w:jc w:val="left"/>
      </w:pPr>
      <w:r>
        <w:rPr>
          <w:rFonts w:ascii="Calibri" w:cs="Calibri" w:eastAsia="Calibri" w:hAnsi="Calibri"/>
          <w:b w:val="false"/>
          <w:bCs w:val="false"/>
          <w:i w:val="false"/>
          <w:iCs w:val="false"/>
          <w:color w:val="000000"/>
          <w:sz w:val="22"/>
          <w:szCs w:val="22"/>
        </w:rPr>
        <w:t xml:space="preserve">This index follows the template specified in the Agentic Systems Studio assignment brief (page 15: Screenshot index template).</w:t>
      </w:r>
    </w:p>
    <w:p>
      <w:pPr>
        <w:spacing w:after="120" w:before="0" w:line="300"/>
        <w:jc w:val="left"/>
      </w:pPr>
      <w:r>
        <w:rPr>
          <w:rFonts w:ascii="Calibri" w:cs="Calibri" w:eastAsia="Calibri" w:hAnsi="Calibri"/>
          <w:b w:val="false"/>
          <w:bCs w:val="false"/>
          <w:i w:val="false"/>
          <w:iCs w:val="false"/>
          <w:color w:val="000000"/>
          <w:sz w:val="22"/>
          <w:szCs w:val="22"/>
        </w:rPr>
        <w:t xml:space="preserve">The project is a CLI-based Python orchestrator with no graphical user interface. In accordance with the assignment brief's substitution clause for non-screen-based projects (page 12: </w:t>
      </w:r>
      <w:r>
        <w:rPr>
          <w:rFonts w:ascii="Calibri" w:cs="Calibri" w:eastAsia="Calibri" w:hAnsi="Calibri"/>
          <w:b w:val="false"/>
          <w:bCs w:val="false"/>
          <w:i/>
          <w:iCs/>
          <w:color w:val="595959"/>
          <w:sz w:val="22"/>
          <w:szCs w:val="22"/>
        </w:rPr>
        <w:t xml:space="preserve">"substitute workflow screenshots, story maps, Twine views, orchestration boards, or equivalent visual evidence"</w:t>
      </w:r>
      <w:r>
        <w:rPr>
          <w:rFonts w:ascii="Calibri" w:cs="Calibri" w:eastAsia="Calibri" w:hAnsi="Calibri"/>
          <w:b w:val="false"/>
          <w:bCs w:val="false"/>
          <w:i w:val="false"/>
          <w:iCs w:val="false"/>
          <w:color w:val="000000"/>
          <w:sz w:val="22"/>
          <w:szCs w:val="22"/>
        </w:rPr>
        <w:t xml:space="preserve">), the nine figures below are composed visual evidence panels rather than UI screen captures. Every figure embeds verbatim content from the project's own logs, configuration, or documentation, with explicit line citations in each figure's source footer.</w:t>
      </w:r>
    </w:p>
    <w:p>
      <w:pPr>
        <w:pStyle w:val="Heading1"/>
        <w:spacing w:after="140" w:before="240"/>
      </w:pPr>
      <w:r>
        <w:rPr>
          <w:rFonts w:ascii="Calibri" w:cs="Calibri" w:eastAsia="Calibri" w:hAnsi="Calibri"/>
          <w:b/>
          <w:bCs/>
          <w:color w:val="1F4E79"/>
          <w:sz w:val="36"/>
          <w:szCs w:val="36"/>
        </w:rPr>
        <w:t xml:space="preserve">Index</w:t>
      </w:r>
    </w:p>
    <w:tbl>
      <w:tblPr>
        <w:tblW w:type="dxa" w:w="12960"/>
        <w:tblBorders>
          <w:top w:val="single" w:color="auto" w:sz="4"/>
          <w:left w:val="single" w:color="auto" w:sz="4"/>
          <w:bottom w:val="single" w:color="auto" w:sz="4"/>
          <w:right w:val="single" w:color="auto" w:sz="4"/>
          <w:insideH w:val="single" w:color="auto" w:sz="4"/>
          <w:insideV w:val="single" w:color="auto" w:sz="4"/>
        </w:tblBorders>
      </w:tblPr>
      <w:tblGrid>
        <w:gridCol w:w="620"/>
        <w:gridCol w:w="2200"/>
        <w:gridCol w:w="3700"/>
        <w:gridCol w:w="3100"/>
        <w:gridCol w:w="3340"/>
      </w:tblGrid>
      <w:tr>
        <w:trPr>
          <w:tblHeader/>
        </w:trPr>
        <w:tc>
          <w:tcPr>
            <w:tcW w:type="dxa" w:w="620"/>
            <w:tcBorders>
              <w:top w:val="single" w:color="BFBFBF" w:sz="4"/>
              <w:left w:val="single" w:color="BFBFBF" w:sz="4"/>
              <w:bottom w:val="single" w:color="BFBFBF" w:sz="4"/>
              <w:right w:val="single" w:color="BFBFBF" w:sz="4"/>
            </w:tcBorders>
            <w:shd w:fill="D9E2F3" w:val="clear"/>
            <w:tcMar>
              <w:top w:type="dxa" w:w="100"/>
              <w:left w:type="dxa" w:w="120"/>
              <w:bottom w:type="dxa" w:w="100"/>
              <w:right w:type="dxa" w:w="120"/>
            </w:tcMar>
          </w:tcPr>
          <w:p>
            <w:pPr>
              <w:spacing w:after="20" w:line="280"/>
              <w:jc w:val="center"/>
            </w:pPr>
            <w:r>
              <w:rPr>
                <w:rFonts w:ascii="Calibri" w:cs="Calibri" w:eastAsia="Calibri" w:hAnsi="Calibri"/>
                <w:b/>
                <w:bCs/>
                <w:i w:val="false"/>
                <w:iCs w:val="false"/>
                <w:color w:val="1F4E79"/>
                <w:sz w:val="20"/>
                <w:szCs w:val="20"/>
              </w:rPr>
              <w:t xml:space="preserve">#</w:t>
            </w:r>
          </w:p>
        </w:tc>
        <w:tc>
          <w:tcPr>
            <w:tcW w:type="dxa" w:w="2200"/>
            <w:tcBorders>
              <w:top w:val="single" w:color="BFBFBF" w:sz="4"/>
              <w:left w:val="single" w:color="BFBFBF" w:sz="4"/>
              <w:bottom w:val="single" w:color="BFBFBF" w:sz="4"/>
              <w:right w:val="single" w:color="BFBFBF" w:sz="4"/>
            </w:tcBorders>
            <w:shd w:fill="D9E2F3" w:val="clear"/>
            <w:tcMar>
              <w:top w:type="dxa" w:w="100"/>
              <w:left w:type="dxa" w:w="120"/>
              <w:bottom w:type="dxa" w:w="100"/>
              <w:right w:type="dxa" w:w="120"/>
            </w:tcMar>
          </w:tcPr>
          <w:p>
            <w:pPr>
              <w:spacing w:after="20" w:line="280"/>
              <w:jc w:val="left"/>
            </w:pPr>
            <w:r>
              <w:rPr>
                <w:rFonts w:ascii="Consolas" w:cs="Consolas" w:eastAsia="Consolas" w:hAnsi="Consolas"/>
                <w:b/>
                <w:bCs/>
                <w:i w:val="false"/>
                <w:iCs w:val="false"/>
                <w:color w:val="1F4E79"/>
                <w:sz w:val="20"/>
                <w:szCs w:val="20"/>
              </w:rPr>
              <w:t xml:space="preserve">screenshot_file</w:t>
            </w:r>
          </w:p>
        </w:tc>
        <w:tc>
          <w:tcPr>
            <w:tcW w:type="dxa" w:w="3700"/>
            <w:tcBorders>
              <w:top w:val="single" w:color="BFBFBF" w:sz="4"/>
              <w:left w:val="single" w:color="BFBFBF" w:sz="4"/>
              <w:bottom w:val="single" w:color="BFBFBF" w:sz="4"/>
              <w:right w:val="single" w:color="BFBFBF" w:sz="4"/>
            </w:tcBorders>
            <w:shd w:fill="D9E2F3" w:val="clear"/>
            <w:tcMar>
              <w:top w:type="dxa" w:w="100"/>
              <w:left w:type="dxa" w:w="120"/>
              <w:bottom w:type="dxa" w:w="100"/>
              <w:right w:type="dxa" w:w="120"/>
            </w:tcMar>
          </w:tcPr>
          <w:p>
            <w:pPr>
              <w:spacing w:after="20" w:line="280"/>
              <w:jc w:val="left"/>
            </w:pPr>
            <w:r>
              <w:rPr>
                <w:rFonts w:ascii="Calibri" w:cs="Calibri" w:eastAsia="Calibri" w:hAnsi="Calibri"/>
                <w:b/>
                <w:bCs/>
                <w:i w:val="false"/>
                <w:iCs w:val="false"/>
                <w:color w:val="1F4E79"/>
                <w:sz w:val="20"/>
                <w:szCs w:val="20"/>
              </w:rPr>
              <w:t xml:space="preserve">what_it_shows</w:t>
            </w:r>
          </w:p>
        </w:tc>
        <w:tc>
          <w:tcPr>
            <w:tcW w:type="dxa" w:w="3100"/>
            <w:tcBorders>
              <w:top w:val="single" w:color="BFBFBF" w:sz="4"/>
              <w:left w:val="single" w:color="BFBFBF" w:sz="4"/>
              <w:bottom w:val="single" w:color="BFBFBF" w:sz="4"/>
              <w:right w:val="single" w:color="BFBFBF" w:sz="4"/>
            </w:tcBorders>
            <w:shd w:fill="D9E2F3" w:val="clear"/>
            <w:tcMar>
              <w:top w:type="dxa" w:w="100"/>
              <w:left w:type="dxa" w:w="120"/>
              <w:bottom w:type="dxa" w:w="100"/>
              <w:right w:type="dxa" w:w="120"/>
            </w:tcMar>
          </w:tcPr>
          <w:p>
            <w:pPr>
              <w:spacing w:after="20" w:line="280"/>
              <w:jc w:val="left"/>
            </w:pPr>
            <w:r>
              <w:rPr>
                <w:rFonts w:ascii="Calibri" w:cs="Calibri" w:eastAsia="Calibri" w:hAnsi="Calibri"/>
                <w:b/>
                <w:bCs/>
                <w:i w:val="false"/>
                <w:iCs w:val="false"/>
                <w:color w:val="1F4E79"/>
                <w:sz w:val="20"/>
                <w:szCs w:val="20"/>
              </w:rPr>
              <w:t xml:space="preserve">why_it_matters</w:t>
            </w:r>
          </w:p>
        </w:tc>
        <w:tc>
          <w:tcPr>
            <w:tcW w:type="dxa" w:w="3340"/>
            <w:tcBorders>
              <w:top w:val="single" w:color="BFBFBF" w:sz="4"/>
              <w:left w:val="single" w:color="BFBFBF" w:sz="4"/>
              <w:bottom w:val="single" w:color="BFBFBF" w:sz="4"/>
              <w:right w:val="single" w:color="BFBFBF" w:sz="4"/>
            </w:tcBorders>
            <w:shd w:fill="D9E2F3" w:val="clear"/>
            <w:tcMar>
              <w:top w:type="dxa" w:w="100"/>
              <w:left w:type="dxa" w:w="120"/>
              <w:bottom w:type="dxa" w:w="100"/>
              <w:right w:type="dxa" w:w="120"/>
            </w:tcMar>
          </w:tcPr>
          <w:p>
            <w:pPr>
              <w:spacing w:after="20" w:line="280"/>
              <w:jc w:val="left"/>
            </w:pPr>
            <w:r>
              <w:rPr>
                <w:rFonts w:ascii="Calibri" w:cs="Calibri" w:eastAsia="Calibri" w:hAnsi="Calibri"/>
                <w:b/>
                <w:bCs/>
                <w:i w:val="false"/>
                <w:iCs w:val="false"/>
                <w:color w:val="1F4E79"/>
                <w:sz w:val="20"/>
                <w:szCs w:val="20"/>
              </w:rPr>
              <w:t xml:space="preserve">where_it_is_discussed_in_the_report</w:t>
            </w:r>
          </w:p>
        </w:tc>
      </w:tr>
      <w:tr>
        <w:trPr>
          <w:cantSplit w:val="false"/>
        </w:trPr>
        <w:tc>
          <w:tcPr>
            <w:tcW w:type="dxa" w:w="620"/>
            <w:tcBorders>
              <w:top w:val="single" w:color="BFBFBF" w:sz="4"/>
              <w:left w:val="single" w:color="BFBFBF" w:sz="4"/>
              <w:bottom w:val="single" w:color="BFBFBF" w:sz="4"/>
              <w:right w:val="single" w:color="BFBFBF" w:sz="4"/>
            </w:tcBorders>
            <w:tcMar>
              <w:top w:type="dxa" w:w="100"/>
              <w:left w:type="dxa" w:w="120"/>
              <w:bottom w:type="dxa" w:w="100"/>
              <w:right w:type="dxa" w:w="120"/>
            </w:tcMar>
          </w:tcPr>
          <w:p>
            <w:pPr>
              <w:spacing w:after="20" w:line="280"/>
              <w:jc w:val="center"/>
            </w:pPr>
            <w:r>
              <w:rPr>
                <w:rFonts w:ascii="Calibri" w:cs="Calibri" w:eastAsia="Calibri" w:hAnsi="Calibri"/>
                <w:b/>
                <w:bCs/>
                <w:i w:val="false"/>
                <w:iCs w:val="false"/>
                <w:color w:val="1F4E79"/>
                <w:sz w:val="20"/>
                <w:szCs w:val="20"/>
              </w:rPr>
              <w:t xml:space="preserve">1</w:t>
            </w:r>
          </w:p>
        </w:tc>
        <w:tc>
          <w:tcPr>
            <w:tcW w:type="dxa" w:w="2200"/>
            <w:tcBorders>
              <w:top w:val="single" w:color="BFBFBF" w:sz="4"/>
              <w:left w:val="single" w:color="BFBFBF" w:sz="4"/>
              <w:bottom w:val="single" w:color="BFBFBF" w:sz="4"/>
              <w:right w:val="single" w:color="BFBFBF" w:sz="4"/>
            </w:tcBorders>
            <w:tcMar>
              <w:top w:type="dxa" w:w="100"/>
              <w:left w:type="dxa" w:w="120"/>
              <w:bottom w:type="dxa" w:w="100"/>
              <w:right w:type="dxa" w:w="120"/>
            </w:tcMar>
          </w:tcPr>
          <w:p>
            <w:pPr>
              <w:spacing w:after="20" w:line="280"/>
              <w:jc w:val="left"/>
            </w:pPr>
            <w:r>
              <w:rPr>
                <w:rFonts w:ascii="Consolas" w:cs="Consolas" w:eastAsia="Consolas" w:hAnsi="Consolas"/>
                <w:b w:val="false"/>
                <w:bCs w:val="false"/>
                <w:i w:val="false"/>
                <w:iCs w:val="false"/>
                <w:color w:val="2E75B6"/>
                <w:sz w:val="20"/>
                <w:szCs w:val="20"/>
              </w:rPr>
              <w:t xml:space="preserve">01_home.png</w:t>
            </w:r>
          </w:p>
        </w:tc>
        <w:tc>
          <w:tcPr>
            <w:tcW w:type="dxa" w:w="3700"/>
            <w:tcBorders>
              <w:top w:val="single" w:color="BFBFBF" w:sz="4"/>
              <w:left w:val="single" w:color="BFBFBF" w:sz="4"/>
              <w:bottom w:val="single" w:color="BFBFBF" w:sz="4"/>
              <w:right w:val="single" w:color="BFBFBF" w:sz="4"/>
            </w:tcBorders>
            <w:tcMar>
              <w:top w:type="dxa" w:w="100"/>
              <w:left w:type="dxa" w:w="120"/>
              <w:bottom w:type="dxa" w:w="100"/>
              <w:right w:type="dxa" w:w="120"/>
            </w:tcMar>
          </w:tcPr>
          <w:p>
            <w:pPr>
              <w:spacing w:after="20" w:line="280"/>
              <w:jc w:val="left"/>
            </w:pPr>
            <w:r>
              <w:rPr>
                <w:rFonts w:ascii="Calibri" w:cs="Calibri" w:eastAsia="Calibri" w:hAnsi="Calibri"/>
                <w:b w:val="false"/>
                <w:bCs w:val="false"/>
                <w:i w:val="false"/>
                <w:iCs w:val="false"/>
                <w:color w:val="000000"/>
                <w:sz w:val="20"/>
                <w:szCs w:val="20"/>
              </w:rPr>
              <w:t xml:space="preserve">CLI invocation and session startup banner. Shows </w:t>
            </w:r>
            <w:r>
              <w:rPr>
                <w:rFonts w:ascii="Consolas" w:cs="Consolas" w:eastAsia="Consolas" w:hAnsi="Consolas"/>
                <w:b w:val="false"/>
                <w:bCs w:val="false"/>
                <w:i w:val="false"/>
                <w:iCs w:val="false"/>
                <w:color w:val="2E75B6"/>
                <w:sz w:val="18"/>
                <w:szCs w:val="18"/>
              </w:rPr>
              <w:t xml:space="preserve">python orchestrator.py --id 1</w:t>
            </w:r>
            <w:r>
              <w:rPr>
                <w:rFonts w:ascii="Calibri" w:cs="Calibri" w:eastAsia="Calibri" w:hAnsi="Calibri"/>
                <w:b w:val="false"/>
                <w:bCs w:val="false"/>
                <w:i w:val="false"/>
                <w:iCs w:val="false"/>
                <w:color w:val="000000"/>
                <w:sz w:val="20"/>
                <w:szCs w:val="20"/>
              </w:rPr>
              <w:t xml:space="preserve"> and the verbatim opening of </w:t>
            </w:r>
            <w:r>
              <w:rPr>
                <w:rFonts w:ascii="Consolas" w:cs="Consolas" w:eastAsia="Consolas" w:hAnsi="Consolas"/>
                <w:b w:val="false"/>
                <w:bCs w:val="false"/>
                <w:i w:val="false"/>
                <w:iCs w:val="false"/>
                <w:color w:val="2E75B6"/>
                <w:sz w:val="18"/>
                <w:szCs w:val="18"/>
              </w:rPr>
              <w:t xml:space="preserve">scenario_1_20260418_192643.log</w:t>
            </w:r>
            <w:r>
              <w:rPr>
                <w:rFonts w:ascii="Calibri" w:cs="Calibri" w:eastAsia="Calibri" w:hAnsi="Calibri"/>
                <w:b w:val="false"/>
                <w:bCs w:val="false"/>
                <w:i w:val="false"/>
                <w:iCs w:val="false"/>
                <w:color w:val="000000"/>
                <w:sz w:val="20"/>
                <w:szCs w:val="20"/>
              </w:rPr>
              <w:t xml:space="preserve"> (session_id, started_at, mode, budget, hard_ceiling, relax_public_broadcast). An annotation panel names what the orchestrator initializes at cold start (config, personas, advisor, guardrail, API client).</w:t>
            </w:r>
          </w:p>
        </w:tc>
        <w:tc>
          <w:tcPr>
            <w:tcW w:type="dxa" w:w="3100"/>
            <w:tcBorders>
              <w:top w:val="single" w:color="BFBFBF" w:sz="4"/>
              <w:left w:val="single" w:color="BFBFBF" w:sz="4"/>
              <w:bottom w:val="single" w:color="BFBFBF" w:sz="4"/>
              <w:right w:val="single" w:color="BFBFBF" w:sz="4"/>
            </w:tcBorders>
            <w:tcMar>
              <w:top w:type="dxa" w:w="100"/>
              <w:left w:type="dxa" w:w="120"/>
              <w:bottom w:type="dxa" w:w="100"/>
              <w:right w:type="dxa" w:w="120"/>
            </w:tcMar>
          </w:tcPr>
          <w:p>
            <w:pPr>
              <w:spacing w:after="20" w:line="280"/>
              <w:jc w:val="left"/>
            </w:pPr>
            <w:r>
              <w:rPr>
                <w:rFonts w:ascii="Calibri" w:cs="Calibri" w:eastAsia="Calibri" w:hAnsi="Calibri"/>
                <w:b w:val="false"/>
                <w:bCs w:val="false"/>
                <w:i w:val="false"/>
                <w:iCs w:val="false"/>
                <w:color w:val="000000"/>
                <w:sz w:val="20"/>
                <w:szCs w:val="20"/>
              </w:rPr>
              <w:t xml:space="preserve">This is the project's entry point and the first thing a reviewer sees. It establishes that the system is deterministic (config-driven), has a unique session ID per run, and enforces the $15,000 ceiling in code — all before Round 1 begins.</w:t>
            </w:r>
          </w:p>
        </w:tc>
        <w:tc>
          <w:tcPr>
            <w:tcW w:type="dxa" w:w="3340"/>
            <w:tcBorders>
              <w:top w:val="single" w:color="BFBFBF" w:sz="4"/>
              <w:left w:val="single" w:color="BFBFBF" w:sz="4"/>
              <w:bottom w:val="single" w:color="BFBFBF" w:sz="4"/>
              <w:right w:val="single" w:color="BFBFBF" w:sz="4"/>
            </w:tcBorders>
            <w:tcMar>
              <w:top w:type="dxa" w:w="100"/>
              <w:left w:type="dxa" w:w="120"/>
              <w:bottom w:type="dxa" w:w="100"/>
              <w:right w:type="dxa" w:w="120"/>
            </w:tcMar>
          </w:tcPr>
          <w:p>
            <w:pPr>
              <w:spacing w:after="20" w:line="280"/>
              <w:jc w:val="left"/>
            </w:pPr>
            <w:r>
              <w:rPr>
                <w:rFonts w:ascii="Calibri" w:cs="Calibri" w:eastAsia="Calibri" w:hAnsi="Calibri"/>
                <w:b w:val="false"/>
                <w:bCs w:val="false"/>
                <w:i w:val="false"/>
                <w:iCs w:val="false"/>
                <w:color w:val="000000"/>
                <w:sz w:val="20"/>
                <w:szCs w:val="20"/>
              </w:rPr>
              <w:t xml:space="preserve">Supplementary evidence supporting Final Report § 2 (Architecture and Design Choices) and § 3 (Implementation and Build Summary); not embedded inline. Referenced via README § Setup and How to Run.</w:t>
            </w:r>
          </w:p>
        </w:tc>
      </w:tr>
      <w:tr>
        <w:trPr>
          <w:cantSplit w:val="false"/>
        </w:trPr>
        <w:tc>
          <w:tcPr>
            <w:tcW w:type="dxa" w:w="620"/>
            <w:tcBorders>
              <w:top w:val="single" w:color="BFBFBF" w:sz="4"/>
              <w:left w:val="single" w:color="BFBFBF" w:sz="4"/>
              <w:bottom w:val="single" w:color="BFBFBF" w:sz="4"/>
              <w:right w:val="single" w:color="BFBFBF" w:sz="4"/>
            </w:tcBorders>
            <w:tcMar>
              <w:top w:type="dxa" w:w="100"/>
              <w:left w:type="dxa" w:w="120"/>
              <w:bottom w:type="dxa" w:w="100"/>
              <w:right w:type="dxa" w:w="120"/>
            </w:tcMar>
          </w:tcPr>
          <w:p>
            <w:pPr>
              <w:spacing w:after="20" w:line="280"/>
              <w:jc w:val="center"/>
            </w:pPr>
            <w:r>
              <w:rPr>
                <w:rFonts w:ascii="Calibri" w:cs="Calibri" w:eastAsia="Calibri" w:hAnsi="Calibri"/>
                <w:b/>
                <w:bCs/>
                <w:i w:val="false"/>
                <w:iCs w:val="false"/>
                <w:color w:val="1F4E79"/>
                <w:sz w:val="20"/>
                <w:szCs w:val="20"/>
              </w:rPr>
              <w:t xml:space="preserve">2</w:t>
            </w:r>
          </w:p>
        </w:tc>
        <w:tc>
          <w:tcPr>
            <w:tcW w:type="dxa" w:w="2200"/>
            <w:tcBorders>
              <w:top w:val="single" w:color="BFBFBF" w:sz="4"/>
              <w:left w:val="single" w:color="BFBFBF" w:sz="4"/>
              <w:bottom w:val="single" w:color="BFBFBF" w:sz="4"/>
              <w:right w:val="single" w:color="BFBFBF" w:sz="4"/>
            </w:tcBorders>
            <w:tcMar>
              <w:top w:type="dxa" w:w="100"/>
              <w:left w:type="dxa" w:w="120"/>
              <w:bottom w:type="dxa" w:w="100"/>
              <w:right w:type="dxa" w:w="120"/>
            </w:tcMar>
          </w:tcPr>
          <w:p>
            <w:pPr>
              <w:spacing w:after="20" w:line="280"/>
              <w:jc w:val="left"/>
            </w:pPr>
            <w:r>
              <w:rPr>
                <w:rFonts w:ascii="Consolas" w:cs="Consolas" w:eastAsia="Consolas" w:hAnsi="Consolas"/>
                <w:b w:val="false"/>
                <w:bCs w:val="false"/>
                <w:i w:val="false"/>
                <w:iCs w:val="false"/>
                <w:color w:val="2E75B6"/>
                <w:sz w:val="20"/>
                <w:szCs w:val="20"/>
              </w:rPr>
              <w:t xml:space="preserve">02_main_flow.png</w:t>
            </w:r>
          </w:p>
        </w:tc>
        <w:tc>
          <w:tcPr>
            <w:tcW w:type="dxa" w:w="3700"/>
            <w:tcBorders>
              <w:top w:val="single" w:color="BFBFBF" w:sz="4"/>
              <w:left w:val="single" w:color="BFBFBF" w:sz="4"/>
              <w:bottom w:val="single" w:color="BFBFBF" w:sz="4"/>
              <w:right w:val="single" w:color="BFBFBF" w:sz="4"/>
            </w:tcBorders>
            <w:tcMar>
              <w:top w:type="dxa" w:w="100"/>
              <w:left w:type="dxa" w:w="120"/>
              <w:bottom w:type="dxa" w:w="100"/>
              <w:right w:type="dxa" w:w="120"/>
            </w:tcMar>
          </w:tcPr>
          <w:p>
            <w:pPr>
              <w:spacing w:after="20" w:line="280"/>
              <w:jc w:val="left"/>
            </w:pPr>
            <w:r>
              <w:rPr>
                <w:rFonts w:ascii="Calibri" w:cs="Calibri" w:eastAsia="Calibri" w:hAnsi="Calibri"/>
                <w:b w:val="false"/>
                <w:bCs w:val="false"/>
                <w:i w:val="false"/>
                <w:iCs w:val="false"/>
                <w:color w:val="000000"/>
                <w:sz w:val="20"/>
                <w:szCs w:val="20"/>
              </w:rPr>
              <w:t xml:space="preserve">The main interaction: hub-and-spoke architecture diagram on the left (sourced from the project's canonical architecture SVG), with a 6-step per-round flow panel on the right. Each step includes a verbatim artifact from </w:t>
            </w:r>
            <w:r>
              <w:rPr>
                <w:rFonts w:ascii="Consolas" w:cs="Consolas" w:eastAsia="Consolas" w:hAnsi="Consolas"/>
                <w:b w:val="false"/>
                <w:bCs w:val="false"/>
                <w:i w:val="false"/>
                <w:iCs w:val="false"/>
                <w:color w:val="2E75B6"/>
                <w:sz w:val="18"/>
                <w:szCs w:val="18"/>
              </w:rPr>
              <w:t xml:space="preserve">scenario_1_20260418_192643.log</w:t>
            </w:r>
            <w:r>
              <w:rPr>
                <w:rFonts w:ascii="Calibri" w:cs="Calibri" w:eastAsia="Calibri" w:hAnsi="Calibri"/>
                <w:b w:val="false"/>
                <w:bCs w:val="false"/>
                <w:i w:val="false"/>
                <w:iCs w:val="false"/>
                <w:color w:val="000000"/>
                <w:sz w:val="20"/>
                <w:szCs w:val="20"/>
              </w:rPr>
              <w:t xml:space="preserve"> (BID_JSON, bid_summary, AWARD_JSON, STRATEGIC AUDIT header, HUMAN APPROVAL, award_contract SUCCESS).</w:t>
            </w:r>
          </w:p>
        </w:tc>
        <w:tc>
          <w:tcPr>
            <w:tcW w:type="dxa" w:w="3100"/>
            <w:tcBorders>
              <w:top w:val="single" w:color="BFBFBF" w:sz="4"/>
              <w:left w:val="single" w:color="BFBFBF" w:sz="4"/>
              <w:bottom w:val="single" w:color="BFBFBF" w:sz="4"/>
              <w:right w:val="single" w:color="BFBFBF" w:sz="4"/>
            </w:tcBorders>
            <w:tcMar>
              <w:top w:type="dxa" w:w="100"/>
              <w:left w:type="dxa" w:w="120"/>
              <w:bottom w:type="dxa" w:w="100"/>
              <w:right w:type="dxa" w:w="120"/>
            </w:tcMar>
          </w:tcPr>
          <w:p>
            <w:pPr>
              <w:spacing w:after="20" w:line="280"/>
              <w:jc w:val="left"/>
            </w:pPr>
            <w:r>
              <w:rPr>
                <w:rFonts w:ascii="Calibri" w:cs="Calibri" w:eastAsia="Calibri" w:hAnsi="Calibri"/>
                <w:b w:val="false"/>
                <w:bCs w:val="false"/>
                <w:i w:val="false"/>
                <w:iCs w:val="false"/>
                <w:color w:val="000000"/>
                <w:sz w:val="20"/>
                <w:szCs w:val="20"/>
              </w:rPr>
              <w:t xml:space="preserve">Shows how a single negotiation round traverses the four zones of the architecture: isolated vendor threads → buyer consolidation → Strategic Advisor audit → human gatekeeper → deterministic guardrail. This is the core workflow of the system.</w:t>
            </w:r>
          </w:p>
        </w:tc>
        <w:tc>
          <w:tcPr>
            <w:tcW w:type="dxa" w:w="3340"/>
            <w:tcBorders>
              <w:top w:val="single" w:color="BFBFBF" w:sz="4"/>
              <w:left w:val="single" w:color="BFBFBF" w:sz="4"/>
              <w:bottom w:val="single" w:color="BFBFBF" w:sz="4"/>
              <w:right w:val="single" w:color="BFBFBF" w:sz="4"/>
            </w:tcBorders>
            <w:tcMar>
              <w:top w:type="dxa" w:w="100"/>
              <w:left w:type="dxa" w:w="120"/>
              <w:bottom w:type="dxa" w:w="100"/>
              <w:right w:type="dxa" w:w="120"/>
            </w:tcMar>
          </w:tcPr>
          <w:p>
            <w:pPr>
              <w:spacing w:after="20" w:line="280"/>
              <w:jc w:val="left"/>
            </w:pPr>
            <w:r>
              <w:rPr>
                <w:rFonts w:ascii="Calibri" w:cs="Calibri" w:eastAsia="Calibri" w:hAnsi="Calibri"/>
                <w:b w:val="false"/>
                <w:bCs w:val="false"/>
                <w:i w:val="false"/>
                <w:iCs w:val="false"/>
                <w:color w:val="000000"/>
                <w:sz w:val="20"/>
                <w:szCs w:val="20"/>
              </w:rPr>
              <w:t xml:space="preserve">Embedded as Figure 1 in Final Report § 2 (Architecture and Design Choices). Also referenced in Phase 2 §§ 3 (Architecture), 6 (Tools, Memory, Data).</w:t>
            </w:r>
          </w:p>
        </w:tc>
      </w:tr>
      <w:tr>
        <w:trPr>
          <w:cantSplit w:val="false"/>
        </w:trPr>
        <w:tc>
          <w:tcPr>
            <w:tcW w:type="dxa" w:w="620"/>
            <w:tcBorders>
              <w:top w:val="single" w:color="BFBFBF" w:sz="4"/>
              <w:left w:val="single" w:color="BFBFBF" w:sz="4"/>
              <w:bottom w:val="single" w:color="BFBFBF" w:sz="4"/>
              <w:right w:val="single" w:color="BFBFBF" w:sz="4"/>
            </w:tcBorders>
            <w:tcMar>
              <w:top w:type="dxa" w:w="100"/>
              <w:left w:type="dxa" w:w="120"/>
              <w:bottom w:type="dxa" w:w="100"/>
              <w:right w:type="dxa" w:w="120"/>
            </w:tcMar>
          </w:tcPr>
          <w:p>
            <w:pPr>
              <w:spacing w:after="20" w:line="280"/>
              <w:jc w:val="center"/>
            </w:pPr>
            <w:r>
              <w:rPr>
                <w:rFonts w:ascii="Calibri" w:cs="Calibri" w:eastAsia="Calibri" w:hAnsi="Calibri"/>
                <w:b/>
                <w:bCs/>
                <w:i w:val="false"/>
                <w:iCs w:val="false"/>
                <w:color w:val="1F4E79"/>
                <w:sz w:val="20"/>
                <w:szCs w:val="20"/>
              </w:rPr>
              <w:t xml:space="preserve">3</w:t>
            </w:r>
          </w:p>
        </w:tc>
        <w:tc>
          <w:tcPr>
            <w:tcW w:type="dxa" w:w="2200"/>
            <w:tcBorders>
              <w:top w:val="single" w:color="BFBFBF" w:sz="4"/>
              <w:left w:val="single" w:color="BFBFBF" w:sz="4"/>
              <w:bottom w:val="single" w:color="BFBFBF" w:sz="4"/>
              <w:right w:val="single" w:color="BFBFBF" w:sz="4"/>
            </w:tcBorders>
            <w:tcMar>
              <w:top w:type="dxa" w:w="100"/>
              <w:left w:type="dxa" w:w="120"/>
              <w:bottom w:type="dxa" w:w="100"/>
              <w:right w:type="dxa" w:w="120"/>
            </w:tcMar>
          </w:tcPr>
          <w:p>
            <w:pPr>
              <w:spacing w:after="20" w:line="280"/>
              <w:jc w:val="left"/>
            </w:pPr>
            <w:r>
              <w:rPr>
                <w:rFonts w:ascii="Consolas" w:cs="Consolas" w:eastAsia="Consolas" w:hAnsi="Consolas"/>
                <w:b w:val="false"/>
                <w:bCs w:val="false"/>
                <w:i w:val="false"/>
                <w:iCs w:val="false"/>
                <w:color w:val="2E75B6"/>
                <w:sz w:val="20"/>
                <w:szCs w:val="20"/>
              </w:rPr>
              <w:t xml:space="preserve">03_evidence_view.png</w:t>
            </w:r>
          </w:p>
        </w:tc>
        <w:tc>
          <w:tcPr>
            <w:tcW w:type="dxa" w:w="3700"/>
            <w:tcBorders>
              <w:top w:val="single" w:color="BFBFBF" w:sz="4"/>
              <w:left w:val="single" w:color="BFBFBF" w:sz="4"/>
              <w:bottom w:val="single" w:color="BFBFBF" w:sz="4"/>
              <w:right w:val="single" w:color="BFBFBF" w:sz="4"/>
            </w:tcBorders>
            <w:tcMar>
              <w:top w:type="dxa" w:w="100"/>
              <w:left w:type="dxa" w:w="120"/>
              <w:bottom w:type="dxa" w:w="100"/>
              <w:right w:type="dxa" w:w="120"/>
            </w:tcMar>
          </w:tcPr>
          <w:p>
            <w:pPr>
              <w:spacing w:after="20" w:line="280"/>
              <w:jc w:val="left"/>
            </w:pPr>
            <w:r>
              <w:rPr>
                <w:rFonts w:ascii="Calibri" w:cs="Calibri" w:eastAsia="Calibri" w:hAnsi="Calibri"/>
                <w:b w:val="false"/>
                <w:bCs w:val="false"/>
                <w:i w:val="false"/>
                <w:iCs w:val="false"/>
                <w:color w:val="000000"/>
                <w:sz w:val="20"/>
                <w:szCs w:val="20"/>
              </w:rPr>
              <w:t xml:space="preserve">The complete evidence chain for one SUCCESS award (Scenario 1, Round 3), line-by-line. Includes the three isolated vendor bids, buyer consolidation, AWARD_JSON, Strategic Audit Summary excerpt, human nudge and re-audit cycle, final approval, and deterministic </w:t>
            </w:r>
            <w:r>
              <w:rPr>
                <w:rFonts w:ascii="Consolas" w:cs="Consolas" w:eastAsia="Consolas" w:hAnsi="Consolas"/>
                <w:b w:val="false"/>
                <w:bCs w:val="false"/>
                <w:i w:val="false"/>
                <w:iCs w:val="false"/>
                <w:color w:val="2E75B6"/>
                <w:sz w:val="18"/>
                <w:szCs w:val="18"/>
              </w:rPr>
              <w:t xml:space="preserve">award_contract</w:t>
            </w:r>
            <w:r>
              <w:rPr>
                <w:rFonts w:ascii="Calibri" w:cs="Calibri" w:eastAsia="Calibri" w:hAnsi="Calibri"/>
                <w:b w:val="false"/>
                <w:bCs w:val="false"/>
                <w:i w:val="false"/>
                <w:iCs w:val="false"/>
                <w:color w:val="000000"/>
                <w:sz w:val="20"/>
                <w:szCs w:val="20"/>
              </w:rPr>
              <w:t xml:space="preserve"> SUCCESS — each with an explicit line number citation (lines 718, 811, 905, 944, 1074–1082, 1009, 1011, 1084, 1085, 1087). An annotation panel explains why this chain is auditable.</w:t>
            </w:r>
          </w:p>
        </w:tc>
        <w:tc>
          <w:tcPr>
            <w:tcW w:type="dxa" w:w="3100"/>
            <w:tcBorders>
              <w:top w:val="single" w:color="BFBFBF" w:sz="4"/>
              <w:left w:val="single" w:color="BFBFBF" w:sz="4"/>
              <w:bottom w:val="single" w:color="BFBFBF" w:sz="4"/>
              <w:right w:val="single" w:color="BFBFBF" w:sz="4"/>
            </w:tcBorders>
            <w:tcMar>
              <w:top w:type="dxa" w:w="100"/>
              <w:left w:type="dxa" w:w="120"/>
              <w:bottom w:type="dxa" w:w="100"/>
              <w:right w:type="dxa" w:w="120"/>
            </w:tcMar>
          </w:tcPr>
          <w:p>
            <w:pPr>
              <w:spacing w:after="20" w:line="280"/>
              <w:jc w:val="left"/>
            </w:pPr>
            <w:r>
              <w:rPr>
                <w:rFonts w:ascii="Calibri" w:cs="Calibri" w:eastAsia="Calibri" w:hAnsi="Calibri"/>
                <w:b w:val="false"/>
                <w:bCs w:val="false"/>
                <w:i w:val="false"/>
                <w:iCs w:val="false"/>
                <w:color w:val="000000"/>
                <w:sz w:val="20"/>
                <w:szCs w:val="20"/>
              </w:rPr>
              <w:t xml:space="preserve">Demonstrates the traceability property of the system: every decision point — bid, award, audit, vote, guardrail — has a corresponding log line that a reviewer can open and verify. This is the evidence layer that makes governance claims falsifiable.</w:t>
            </w:r>
          </w:p>
        </w:tc>
        <w:tc>
          <w:tcPr>
            <w:tcW w:type="dxa" w:w="3340"/>
            <w:tcBorders>
              <w:top w:val="single" w:color="BFBFBF" w:sz="4"/>
              <w:left w:val="single" w:color="BFBFBF" w:sz="4"/>
              <w:bottom w:val="single" w:color="BFBFBF" w:sz="4"/>
              <w:right w:val="single" w:color="BFBFBF" w:sz="4"/>
            </w:tcBorders>
            <w:tcMar>
              <w:top w:type="dxa" w:w="100"/>
              <w:left w:type="dxa" w:w="120"/>
              <w:bottom w:type="dxa" w:w="100"/>
              <w:right w:type="dxa" w:w="120"/>
            </w:tcMar>
          </w:tcPr>
          <w:p>
            <w:pPr>
              <w:spacing w:after="20" w:line="280"/>
              <w:jc w:val="left"/>
            </w:pPr>
            <w:r>
              <w:rPr>
                <w:rFonts w:ascii="Calibri" w:cs="Calibri" w:eastAsia="Calibri" w:hAnsi="Calibri"/>
                <w:b w:val="false"/>
                <w:bCs w:val="false"/>
                <w:i w:val="false"/>
                <w:iCs w:val="false"/>
                <w:color w:val="000000"/>
                <w:sz w:val="20"/>
                <w:szCs w:val="20"/>
              </w:rPr>
              <w:t xml:space="preserve">Supplementary evidence supporting Final Report § 4 (Evaluation Setup) and Phase 3 Log Evidence Analysis § Part I Scenario 1; not embedded inline.</w:t>
            </w:r>
          </w:p>
        </w:tc>
      </w:tr>
      <w:tr>
        <w:trPr>
          <w:cantSplit w:val="false"/>
        </w:trPr>
        <w:tc>
          <w:tcPr>
            <w:tcW w:type="dxa" w:w="620"/>
            <w:tcBorders>
              <w:top w:val="single" w:color="BFBFBF" w:sz="4"/>
              <w:left w:val="single" w:color="BFBFBF" w:sz="4"/>
              <w:bottom w:val="single" w:color="BFBFBF" w:sz="4"/>
              <w:right w:val="single" w:color="BFBFBF" w:sz="4"/>
            </w:tcBorders>
            <w:tcMar>
              <w:top w:type="dxa" w:w="100"/>
              <w:left w:type="dxa" w:w="120"/>
              <w:bottom w:type="dxa" w:w="100"/>
              <w:right w:type="dxa" w:w="120"/>
            </w:tcMar>
          </w:tcPr>
          <w:p>
            <w:pPr>
              <w:spacing w:after="20" w:line="280"/>
              <w:jc w:val="center"/>
            </w:pPr>
            <w:r>
              <w:rPr>
                <w:rFonts w:ascii="Calibri" w:cs="Calibri" w:eastAsia="Calibri" w:hAnsi="Calibri"/>
                <w:b/>
                <w:bCs/>
                <w:i w:val="false"/>
                <w:iCs w:val="false"/>
                <w:color w:val="1F4E79"/>
                <w:sz w:val="20"/>
                <w:szCs w:val="20"/>
              </w:rPr>
              <w:t xml:space="preserve">4</w:t>
            </w:r>
          </w:p>
        </w:tc>
        <w:tc>
          <w:tcPr>
            <w:tcW w:type="dxa" w:w="2200"/>
            <w:tcBorders>
              <w:top w:val="single" w:color="BFBFBF" w:sz="4"/>
              <w:left w:val="single" w:color="BFBFBF" w:sz="4"/>
              <w:bottom w:val="single" w:color="BFBFBF" w:sz="4"/>
              <w:right w:val="single" w:color="BFBFBF" w:sz="4"/>
            </w:tcBorders>
            <w:tcMar>
              <w:top w:type="dxa" w:w="100"/>
              <w:left w:type="dxa" w:w="120"/>
              <w:bottom w:type="dxa" w:w="100"/>
              <w:right w:type="dxa" w:w="120"/>
            </w:tcMar>
          </w:tcPr>
          <w:p>
            <w:pPr>
              <w:spacing w:after="20" w:line="280"/>
              <w:jc w:val="left"/>
            </w:pPr>
            <w:r>
              <w:rPr>
                <w:rFonts w:ascii="Consolas" w:cs="Consolas" w:eastAsia="Consolas" w:hAnsi="Consolas"/>
                <w:b w:val="false"/>
                <w:bCs w:val="false"/>
                <w:i w:val="false"/>
                <w:iCs w:val="false"/>
                <w:color w:val="2E75B6"/>
                <w:sz w:val="20"/>
                <w:szCs w:val="20"/>
              </w:rPr>
              <w:t xml:space="preserve">04_history_or_state.png</w:t>
            </w:r>
          </w:p>
        </w:tc>
        <w:tc>
          <w:tcPr>
            <w:tcW w:type="dxa" w:w="3700"/>
            <w:tcBorders>
              <w:top w:val="single" w:color="BFBFBF" w:sz="4"/>
              <w:left w:val="single" w:color="BFBFBF" w:sz="4"/>
              <w:bottom w:val="single" w:color="BFBFBF" w:sz="4"/>
              <w:right w:val="single" w:color="BFBFBF" w:sz="4"/>
            </w:tcBorders>
            <w:tcMar>
              <w:top w:type="dxa" w:w="100"/>
              <w:left w:type="dxa" w:w="120"/>
              <w:bottom w:type="dxa" w:w="100"/>
              <w:right w:type="dxa" w:w="120"/>
            </w:tcMar>
          </w:tcPr>
          <w:p>
            <w:pPr>
              <w:spacing w:after="20" w:line="280"/>
              <w:jc w:val="left"/>
            </w:pPr>
            <w:r>
              <w:rPr>
                <w:rFonts w:ascii="Calibri" w:cs="Calibri" w:eastAsia="Calibri" w:hAnsi="Calibri"/>
                <w:b w:val="false"/>
                <w:bCs w:val="false"/>
                <w:i w:val="false"/>
                <w:iCs w:val="false"/>
                <w:color w:val="000000"/>
                <w:sz w:val="20"/>
                <w:szCs w:val="20"/>
              </w:rPr>
              <w:t xml:space="preserve">The session inventory: all 11 scenario log files from the 2026-04-18 harvest, each with its line count, first-eight-character session ID, scenario title, and SUCCESS / NO_AWARD status. Includes companion </w:t>
            </w:r>
            <w:r>
              <w:rPr>
                <w:rFonts w:ascii="Consolas" w:cs="Consolas" w:eastAsia="Consolas" w:hAnsi="Consolas"/>
                <w:b w:val="false"/>
                <w:bCs w:val="false"/>
                <w:i w:val="false"/>
                <w:iCs w:val="false"/>
                <w:color w:val="2E75B6"/>
                <w:sz w:val="18"/>
                <w:szCs w:val="18"/>
              </w:rPr>
              <w:t xml:space="preserve">evidence_log_*.json</w:t>
            </w:r>
            <w:r>
              <w:rPr>
                <w:rFonts w:ascii="Calibri" w:cs="Calibri" w:eastAsia="Calibri" w:hAnsi="Calibri"/>
                <w:b w:val="false"/>
                <w:bCs w:val="false"/>
                <w:i w:val="false"/>
                <w:iCs w:val="false"/>
                <w:color w:val="000000"/>
                <w:sz w:val="20"/>
                <w:szCs w:val="20"/>
              </w:rPr>
              <w:t xml:space="preserve"> count. An annotation panel explains the five kinds of state persisted per run.</w:t>
            </w:r>
          </w:p>
        </w:tc>
        <w:tc>
          <w:tcPr>
            <w:tcW w:type="dxa" w:w="3100"/>
            <w:tcBorders>
              <w:top w:val="single" w:color="BFBFBF" w:sz="4"/>
              <w:left w:val="single" w:color="BFBFBF" w:sz="4"/>
              <w:bottom w:val="single" w:color="BFBFBF" w:sz="4"/>
              <w:right w:val="single" w:color="BFBFBF" w:sz="4"/>
            </w:tcBorders>
            <w:tcMar>
              <w:top w:type="dxa" w:w="100"/>
              <w:left w:type="dxa" w:w="120"/>
              <w:bottom w:type="dxa" w:w="100"/>
              <w:right w:type="dxa" w:w="120"/>
            </w:tcMar>
          </w:tcPr>
          <w:p>
            <w:pPr>
              <w:spacing w:after="20" w:line="280"/>
              <w:jc w:val="left"/>
            </w:pPr>
            <w:r>
              <w:rPr>
                <w:rFonts w:ascii="Calibri" w:cs="Calibri" w:eastAsia="Calibri" w:hAnsi="Calibri"/>
                <w:b w:val="false"/>
                <w:bCs w:val="false"/>
                <w:i w:val="false"/>
                <w:iCs w:val="false"/>
                <w:color w:val="000000"/>
                <w:sz w:val="20"/>
                <w:szCs w:val="20"/>
              </w:rPr>
              <w:t xml:space="preserve">Shows that every run is preserved as an auditable artifact with a unique session ID tying together the scenario log, the structured JSON event stream, and any contract write. This is the reproducibility surface for the evaluation.</w:t>
            </w:r>
          </w:p>
        </w:tc>
        <w:tc>
          <w:tcPr>
            <w:tcW w:type="dxa" w:w="3340"/>
            <w:tcBorders>
              <w:top w:val="single" w:color="BFBFBF" w:sz="4"/>
              <w:left w:val="single" w:color="BFBFBF" w:sz="4"/>
              <w:bottom w:val="single" w:color="BFBFBF" w:sz="4"/>
              <w:right w:val="single" w:color="BFBFBF" w:sz="4"/>
            </w:tcBorders>
            <w:tcMar>
              <w:top w:type="dxa" w:w="100"/>
              <w:left w:type="dxa" w:w="120"/>
              <w:bottom w:type="dxa" w:w="100"/>
              <w:right w:type="dxa" w:w="120"/>
            </w:tcMar>
          </w:tcPr>
          <w:p>
            <w:pPr>
              <w:spacing w:after="20" w:line="280"/>
              <w:jc w:val="left"/>
            </w:pPr>
            <w:r>
              <w:rPr>
                <w:rFonts w:ascii="Calibri" w:cs="Calibri" w:eastAsia="Calibri" w:hAnsi="Calibri"/>
                <w:b w:val="false"/>
                <w:bCs w:val="false"/>
                <w:i w:val="false"/>
                <w:iCs w:val="false"/>
                <w:color w:val="000000"/>
                <w:sz w:val="20"/>
                <w:szCs w:val="20"/>
              </w:rPr>
              <w:t xml:space="preserve">Embedded as Figure 3 in Final Report § 4 (Evaluation Setup). Also referenced in Phase 2 § Tools, Memory, and Data Design.</w:t>
            </w:r>
          </w:p>
        </w:tc>
      </w:tr>
      <w:tr>
        <w:trPr>
          <w:cantSplit w:val="false"/>
        </w:trPr>
        <w:tc>
          <w:tcPr>
            <w:tcW w:type="dxa" w:w="620"/>
            <w:tcBorders>
              <w:top w:val="single" w:color="BFBFBF" w:sz="4"/>
              <w:left w:val="single" w:color="BFBFBF" w:sz="4"/>
              <w:bottom w:val="single" w:color="BFBFBF" w:sz="4"/>
              <w:right w:val="single" w:color="BFBFBF" w:sz="4"/>
            </w:tcBorders>
            <w:tcMar>
              <w:top w:type="dxa" w:w="100"/>
              <w:left w:type="dxa" w:w="120"/>
              <w:bottom w:type="dxa" w:w="100"/>
              <w:right w:type="dxa" w:w="120"/>
            </w:tcMar>
          </w:tcPr>
          <w:p>
            <w:pPr>
              <w:spacing w:after="20" w:line="280"/>
              <w:jc w:val="center"/>
            </w:pPr>
            <w:r>
              <w:rPr>
                <w:rFonts w:ascii="Calibri" w:cs="Calibri" w:eastAsia="Calibri" w:hAnsi="Calibri"/>
                <w:b/>
                <w:bCs/>
                <w:i w:val="false"/>
                <w:iCs w:val="false"/>
                <w:color w:val="1F4E79"/>
                <w:sz w:val="20"/>
                <w:szCs w:val="20"/>
              </w:rPr>
              <w:t xml:space="preserve">5</w:t>
            </w:r>
          </w:p>
        </w:tc>
        <w:tc>
          <w:tcPr>
            <w:tcW w:type="dxa" w:w="2200"/>
            <w:tcBorders>
              <w:top w:val="single" w:color="BFBFBF" w:sz="4"/>
              <w:left w:val="single" w:color="BFBFBF" w:sz="4"/>
              <w:bottom w:val="single" w:color="BFBFBF" w:sz="4"/>
              <w:right w:val="single" w:color="BFBFBF" w:sz="4"/>
            </w:tcBorders>
            <w:tcMar>
              <w:top w:type="dxa" w:w="100"/>
              <w:left w:type="dxa" w:w="120"/>
              <w:bottom w:type="dxa" w:w="100"/>
              <w:right w:type="dxa" w:w="120"/>
            </w:tcMar>
          </w:tcPr>
          <w:p>
            <w:pPr>
              <w:spacing w:after="20" w:line="280"/>
              <w:jc w:val="left"/>
            </w:pPr>
            <w:r>
              <w:rPr>
                <w:rFonts w:ascii="Consolas" w:cs="Consolas" w:eastAsia="Consolas" w:hAnsi="Consolas"/>
                <w:b w:val="false"/>
                <w:bCs w:val="false"/>
                <w:i w:val="false"/>
                <w:iCs w:val="false"/>
                <w:color w:val="2E75B6"/>
                <w:sz w:val="20"/>
                <w:szCs w:val="20"/>
              </w:rPr>
              <w:t xml:space="preserve">05_export_or_artifact.png</w:t>
            </w:r>
          </w:p>
        </w:tc>
        <w:tc>
          <w:tcPr>
            <w:tcW w:type="dxa" w:w="3700"/>
            <w:tcBorders>
              <w:top w:val="single" w:color="BFBFBF" w:sz="4"/>
              <w:left w:val="single" w:color="BFBFBF" w:sz="4"/>
              <w:bottom w:val="single" w:color="BFBFBF" w:sz="4"/>
              <w:right w:val="single" w:color="BFBFBF" w:sz="4"/>
            </w:tcBorders>
            <w:tcMar>
              <w:top w:type="dxa" w:w="100"/>
              <w:left w:type="dxa" w:w="120"/>
              <w:bottom w:type="dxa" w:w="100"/>
              <w:right w:type="dxa" w:w="120"/>
            </w:tcMar>
          </w:tcPr>
          <w:p>
            <w:pPr>
              <w:spacing w:after="20" w:line="280"/>
              <w:jc w:val="left"/>
            </w:pPr>
            <w:r>
              <w:rPr>
                <w:rFonts w:ascii="Calibri" w:cs="Calibri" w:eastAsia="Calibri" w:hAnsi="Calibri"/>
                <w:b w:val="false"/>
                <w:bCs w:val="false"/>
                <w:i w:val="false"/>
                <w:iCs w:val="false"/>
                <w:color w:val="000000"/>
                <w:sz w:val="20"/>
                <w:szCs w:val="20"/>
              </w:rPr>
              <w:t xml:space="preserve">Two output categories. Top card: six verbatim </w:t>
            </w:r>
            <w:r>
              <w:rPr>
                <w:rFonts w:ascii="Consolas" w:cs="Consolas" w:eastAsia="Consolas" w:hAnsi="Consolas"/>
                <w:b w:val="false"/>
                <w:bCs w:val="false"/>
                <w:i w:val="false"/>
                <w:iCs w:val="false"/>
                <w:color w:val="2E75B6"/>
                <w:sz w:val="18"/>
                <w:szCs w:val="18"/>
              </w:rPr>
              <w:t xml:space="preserve">[award_contract] SUCCESS: Contract Awarded to …</w:t>
            </w:r>
            <w:r>
              <w:rPr>
                <w:rFonts w:ascii="Calibri" w:cs="Calibri" w:eastAsia="Calibri" w:hAnsi="Calibri"/>
                <w:b w:val="false"/>
                <w:bCs w:val="false"/>
                <w:i w:val="false"/>
                <w:iCs w:val="false"/>
                <w:color w:val="000000"/>
                <w:sz w:val="20"/>
                <w:szCs w:val="20"/>
              </w:rPr>
              <w:t xml:space="preserve"> lines from the scenarios that executed contracts (1, 3, 4, 5, 8, 9). Middle card: a sample row from </w:t>
            </w:r>
            <w:r>
              <w:rPr>
                <w:rFonts w:ascii="Consolas" w:cs="Consolas" w:eastAsia="Consolas" w:hAnsi="Consolas"/>
                <w:b w:val="false"/>
                <w:bCs w:val="false"/>
                <w:i w:val="false"/>
                <w:iCs w:val="false"/>
                <w:color w:val="2E75B6"/>
                <w:sz w:val="18"/>
                <w:szCs w:val="18"/>
              </w:rPr>
              <w:t xml:space="preserve">evaluation/test_cases.csv</w:t>
            </w:r>
            <w:r>
              <w:rPr>
                <w:rFonts w:ascii="Calibri" w:cs="Calibri" w:eastAsia="Calibri" w:hAnsi="Calibri"/>
                <w:b w:val="false"/>
                <w:bCs w:val="false"/>
                <w:i w:val="false"/>
                <w:iCs w:val="false"/>
                <w:color w:val="000000"/>
                <w:sz w:val="20"/>
                <w:szCs w:val="20"/>
              </w:rPr>
              <w:t xml:space="preserve"> showing the ten primary columns (Scenario_ID, Status, Winning_Vendor, Final_Award_Price, Savings, Rounds, Feasible_Band, Human_Intervention, evidence_or_citation). Bottom: additional artifact locations (contract.txt, CFO narrative, final evaluation report).</w:t>
            </w:r>
          </w:p>
        </w:tc>
        <w:tc>
          <w:tcPr>
            <w:tcW w:type="dxa" w:w="3100"/>
            <w:tcBorders>
              <w:top w:val="single" w:color="BFBFBF" w:sz="4"/>
              <w:left w:val="single" w:color="BFBFBF" w:sz="4"/>
              <w:bottom w:val="single" w:color="BFBFBF" w:sz="4"/>
              <w:right w:val="single" w:color="BFBFBF" w:sz="4"/>
            </w:tcBorders>
            <w:tcMar>
              <w:top w:type="dxa" w:w="100"/>
              <w:left w:type="dxa" w:w="120"/>
              <w:bottom w:type="dxa" w:w="100"/>
              <w:right w:type="dxa" w:w="120"/>
            </w:tcMar>
          </w:tcPr>
          <w:p>
            <w:pPr>
              <w:spacing w:after="20" w:line="280"/>
              <w:jc w:val="left"/>
            </w:pPr>
            <w:r>
              <w:rPr>
                <w:rFonts w:ascii="Calibri" w:cs="Calibri" w:eastAsia="Calibri" w:hAnsi="Calibri"/>
                <w:b w:val="false"/>
                <w:bCs w:val="false"/>
                <w:i w:val="false"/>
                <w:iCs w:val="false"/>
                <w:color w:val="000000"/>
                <w:sz w:val="20"/>
                <w:szCs w:val="20"/>
              </w:rPr>
              <w:t xml:space="preserve">Shows what the system exports: a deterministic append to </w:t>
            </w:r>
            <w:r>
              <w:rPr>
                <w:rFonts w:ascii="Consolas" w:cs="Consolas" w:eastAsia="Consolas" w:hAnsi="Consolas"/>
                <w:b w:val="false"/>
                <w:bCs w:val="false"/>
                <w:i w:val="false"/>
                <w:iCs w:val="false"/>
                <w:color w:val="2E75B6"/>
                <w:sz w:val="18"/>
                <w:szCs w:val="18"/>
              </w:rPr>
              <w:t xml:space="preserve">contract.txt</w:t>
            </w:r>
            <w:r>
              <w:rPr>
                <w:rFonts w:ascii="Calibri" w:cs="Calibri" w:eastAsia="Calibri" w:hAnsi="Calibri"/>
                <w:b w:val="false"/>
                <w:bCs w:val="false"/>
                <w:i w:val="false"/>
                <w:iCs w:val="false"/>
                <w:color w:val="000000"/>
                <w:sz w:val="20"/>
                <w:szCs w:val="20"/>
              </w:rPr>
              <w:t xml:space="preserve"> on every SUCCESS, machine-readable CSV evaluation tables regenerable via </w:t>
            </w:r>
            <w:r>
              <w:rPr>
                <w:rFonts w:ascii="Consolas" w:cs="Consolas" w:eastAsia="Consolas" w:hAnsi="Consolas"/>
                <w:b w:val="false"/>
                <w:bCs w:val="false"/>
                <w:i w:val="false"/>
                <w:iCs w:val="false"/>
                <w:color w:val="2E75B6"/>
                <w:sz w:val="18"/>
                <w:szCs w:val="18"/>
              </w:rPr>
              <w:t xml:space="preserve">scripts/export_evaluation.py</w:t>
            </w:r>
            <w:r>
              <w:rPr>
                <w:rFonts w:ascii="Calibri" w:cs="Calibri" w:eastAsia="Calibri" w:hAnsi="Calibri"/>
                <w:b w:val="false"/>
                <w:bCs w:val="false"/>
                <w:i w:val="false"/>
                <w:iCs w:val="false"/>
                <w:color w:val="000000"/>
                <w:sz w:val="20"/>
                <w:szCs w:val="20"/>
              </w:rPr>
              <w:t xml:space="preserve">, and an optional offline executive narrative. These are the portable artifacts a reviewer or operator can consume.</w:t>
            </w:r>
          </w:p>
        </w:tc>
        <w:tc>
          <w:tcPr>
            <w:tcW w:type="dxa" w:w="3340"/>
            <w:tcBorders>
              <w:top w:val="single" w:color="BFBFBF" w:sz="4"/>
              <w:left w:val="single" w:color="BFBFBF" w:sz="4"/>
              <w:bottom w:val="single" w:color="BFBFBF" w:sz="4"/>
              <w:right w:val="single" w:color="BFBFBF" w:sz="4"/>
            </w:tcBorders>
            <w:tcMar>
              <w:top w:type="dxa" w:w="100"/>
              <w:left w:type="dxa" w:w="120"/>
              <w:bottom w:type="dxa" w:w="100"/>
              <w:right w:type="dxa" w:w="120"/>
            </w:tcMar>
          </w:tcPr>
          <w:p>
            <w:pPr>
              <w:spacing w:after="20" w:line="280"/>
              <w:jc w:val="left"/>
            </w:pPr>
            <w:r>
              <w:rPr>
                <w:rFonts w:ascii="Calibri" w:cs="Calibri" w:eastAsia="Calibri" w:hAnsi="Calibri"/>
                <w:b w:val="false"/>
                <w:bCs w:val="false"/>
                <w:i w:val="false"/>
                <w:iCs w:val="false"/>
                <w:color w:val="000000"/>
                <w:sz w:val="20"/>
                <w:szCs w:val="20"/>
              </w:rPr>
              <w:t xml:space="preserve">Supplementary evidence supporting Final Report § 4 (Evaluation Setup) and § 5 (Results); not embedded inline. Artifacts listed in Final Report Appendix (Evidence package).</w:t>
            </w:r>
          </w:p>
        </w:tc>
      </w:tr>
      <w:tr>
        <w:trPr>
          <w:cantSplit w:val="false"/>
        </w:trPr>
        <w:tc>
          <w:tcPr>
            <w:tcW w:type="dxa" w:w="620"/>
            <w:tcBorders>
              <w:top w:val="single" w:color="BFBFBF" w:sz="4"/>
              <w:left w:val="single" w:color="BFBFBF" w:sz="4"/>
              <w:bottom w:val="single" w:color="BFBFBF" w:sz="4"/>
              <w:right w:val="single" w:color="BFBFBF" w:sz="4"/>
            </w:tcBorders>
            <w:tcMar>
              <w:top w:type="dxa" w:w="100"/>
              <w:left w:type="dxa" w:w="120"/>
              <w:bottom w:type="dxa" w:w="100"/>
              <w:right w:type="dxa" w:w="120"/>
            </w:tcMar>
          </w:tcPr>
          <w:p>
            <w:pPr>
              <w:spacing w:after="20" w:line="280"/>
              <w:jc w:val="center"/>
            </w:pPr>
            <w:r>
              <w:rPr>
                <w:rFonts w:ascii="Calibri" w:cs="Calibri" w:eastAsia="Calibri" w:hAnsi="Calibri"/>
                <w:b/>
                <w:bCs/>
                <w:i w:val="false"/>
                <w:iCs w:val="false"/>
                <w:color w:val="1F4E79"/>
                <w:sz w:val="20"/>
                <w:szCs w:val="20"/>
              </w:rPr>
              <w:t xml:space="preserve">6</w:t>
            </w:r>
          </w:p>
        </w:tc>
        <w:tc>
          <w:tcPr>
            <w:tcW w:type="dxa" w:w="2200"/>
            <w:tcBorders>
              <w:top w:val="single" w:color="BFBFBF" w:sz="4"/>
              <w:left w:val="single" w:color="BFBFBF" w:sz="4"/>
              <w:bottom w:val="single" w:color="BFBFBF" w:sz="4"/>
              <w:right w:val="single" w:color="BFBFBF" w:sz="4"/>
            </w:tcBorders>
            <w:tcMar>
              <w:top w:type="dxa" w:w="100"/>
              <w:left w:type="dxa" w:w="120"/>
              <w:bottom w:type="dxa" w:w="100"/>
              <w:right w:type="dxa" w:w="120"/>
            </w:tcMar>
          </w:tcPr>
          <w:p>
            <w:pPr>
              <w:spacing w:after="20" w:line="280"/>
              <w:jc w:val="left"/>
            </w:pPr>
            <w:r>
              <w:rPr>
                <w:rFonts w:ascii="Consolas" w:cs="Consolas" w:eastAsia="Consolas" w:hAnsi="Consolas"/>
                <w:b w:val="false"/>
                <w:bCs w:val="false"/>
                <w:i w:val="false"/>
                <w:iCs w:val="false"/>
                <w:color w:val="2E75B6"/>
                <w:sz w:val="20"/>
                <w:szCs w:val="20"/>
              </w:rPr>
              <w:t xml:space="preserve">06_evaluation_view.png</w:t>
            </w:r>
          </w:p>
        </w:tc>
        <w:tc>
          <w:tcPr>
            <w:tcW w:type="dxa" w:w="3700"/>
            <w:tcBorders>
              <w:top w:val="single" w:color="BFBFBF" w:sz="4"/>
              <w:left w:val="single" w:color="BFBFBF" w:sz="4"/>
              <w:bottom w:val="single" w:color="BFBFBF" w:sz="4"/>
              <w:right w:val="single" w:color="BFBFBF" w:sz="4"/>
            </w:tcBorders>
            <w:tcMar>
              <w:top w:type="dxa" w:w="100"/>
              <w:left w:type="dxa" w:w="120"/>
              <w:bottom w:type="dxa" w:w="100"/>
              <w:right w:type="dxa" w:w="120"/>
            </w:tcMar>
          </w:tcPr>
          <w:p>
            <w:pPr>
              <w:spacing w:after="20" w:line="280"/>
              <w:jc w:val="left"/>
            </w:pPr>
            <w:r>
              <w:rPr>
                <w:rFonts w:ascii="Calibri" w:cs="Calibri" w:eastAsia="Calibri" w:hAnsi="Calibri"/>
                <w:b w:val="false"/>
                <w:bCs w:val="false"/>
                <w:i w:val="false"/>
                <w:iCs w:val="false"/>
                <w:color w:val="000000"/>
                <w:sz w:val="20"/>
                <w:szCs w:val="20"/>
              </w:rPr>
              <w:t xml:space="preserve">The full Results vs Baseline table for all eleven scenarios, scored on two independent layers (Governance and Negotiation). Includes a KPI strip (11 scenarios, 11/11 governance pass, 9/1/1 negotiation pass/fail/partial, 6 SUCCESS, 5 NO_AWARD), per-row Status pills (SUCCESS / NO_AWARD with subtype), Governance / Negotiation pass pills, final award prices, and evidence log filename per row.</w:t>
            </w:r>
          </w:p>
        </w:tc>
        <w:tc>
          <w:tcPr>
            <w:tcW w:type="dxa" w:w="3100"/>
            <w:tcBorders>
              <w:top w:val="single" w:color="BFBFBF" w:sz="4"/>
              <w:left w:val="single" w:color="BFBFBF" w:sz="4"/>
              <w:bottom w:val="single" w:color="BFBFBF" w:sz="4"/>
              <w:right w:val="single" w:color="BFBFBF" w:sz="4"/>
            </w:tcBorders>
            <w:tcMar>
              <w:top w:type="dxa" w:w="100"/>
              <w:left w:type="dxa" w:w="120"/>
              <w:bottom w:type="dxa" w:w="100"/>
              <w:right w:type="dxa" w:w="120"/>
            </w:tcMar>
          </w:tcPr>
          <w:p>
            <w:pPr>
              <w:spacing w:after="20" w:line="280"/>
              <w:jc w:val="left"/>
            </w:pPr>
            <w:r>
              <w:rPr>
                <w:rFonts w:ascii="Calibri" w:cs="Calibri" w:eastAsia="Calibri" w:hAnsi="Calibri"/>
                <w:b w:val="false"/>
                <w:bCs w:val="false"/>
                <w:i w:val="false"/>
                <w:iCs w:val="false"/>
                <w:color w:val="000000"/>
                <w:sz w:val="20"/>
                <w:szCs w:val="20"/>
              </w:rPr>
              <w:t xml:space="preserve">Shows the complete Phase 3 evaluation outcome at a glance. The two-layer scoring matters: a run can pass governance and fail negotiation (Scenario 2, by design) or pass both with different award prices. No executed award exceeded $15,000 in the harvest.</w:t>
            </w:r>
          </w:p>
        </w:tc>
        <w:tc>
          <w:tcPr>
            <w:tcW w:type="dxa" w:w="3340"/>
            <w:tcBorders>
              <w:top w:val="single" w:color="BFBFBF" w:sz="4"/>
              <w:left w:val="single" w:color="BFBFBF" w:sz="4"/>
              <w:bottom w:val="single" w:color="BFBFBF" w:sz="4"/>
              <w:right w:val="single" w:color="BFBFBF" w:sz="4"/>
            </w:tcBorders>
            <w:tcMar>
              <w:top w:type="dxa" w:w="100"/>
              <w:left w:type="dxa" w:w="120"/>
              <w:bottom w:type="dxa" w:w="100"/>
              <w:right w:type="dxa" w:w="120"/>
            </w:tcMar>
          </w:tcPr>
          <w:p>
            <w:pPr>
              <w:spacing w:after="20" w:line="280"/>
              <w:jc w:val="left"/>
            </w:pPr>
            <w:r>
              <w:rPr>
                <w:rFonts w:ascii="Calibri" w:cs="Calibri" w:eastAsia="Calibri" w:hAnsi="Calibri"/>
                <w:b w:val="false"/>
                <w:bCs w:val="false"/>
                <w:i w:val="false"/>
                <w:iCs w:val="false"/>
                <w:color w:val="000000"/>
                <w:sz w:val="20"/>
                <w:szCs w:val="20"/>
              </w:rPr>
              <w:t xml:space="preserve">Embedded as Figure 4 in Final Report § 5 (Results). Also referenced in Phase 3 evaluation report § Results vs Baseline (2026-04-18 harvest).</w:t>
            </w:r>
          </w:p>
        </w:tc>
      </w:tr>
      <w:tr>
        <w:trPr>
          <w:cantSplit w:val="false"/>
        </w:trPr>
        <w:tc>
          <w:tcPr>
            <w:tcW w:type="dxa" w:w="620"/>
            <w:tcBorders>
              <w:top w:val="single" w:color="BFBFBF" w:sz="4"/>
              <w:left w:val="single" w:color="BFBFBF" w:sz="4"/>
              <w:bottom w:val="single" w:color="BFBFBF" w:sz="4"/>
              <w:right w:val="single" w:color="BFBFBF" w:sz="4"/>
            </w:tcBorders>
            <w:tcMar>
              <w:top w:type="dxa" w:w="100"/>
              <w:left w:type="dxa" w:w="120"/>
              <w:bottom w:type="dxa" w:w="100"/>
              <w:right w:type="dxa" w:w="120"/>
            </w:tcMar>
          </w:tcPr>
          <w:p>
            <w:pPr>
              <w:spacing w:after="20" w:line="280"/>
              <w:jc w:val="center"/>
            </w:pPr>
            <w:r>
              <w:rPr>
                <w:rFonts w:ascii="Calibri" w:cs="Calibri" w:eastAsia="Calibri" w:hAnsi="Calibri"/>
                <w:b/>
                <w:bCs/>
                <w:i w:val="false"/>
                <w:iCs w:val="false"/>
                <w:color w:val="1F4E79"/>
                <w:sz w:val="20"/>
                <w:szCs w:val="20"/>
              </w:rPr>
              <w:t xml:space="preserve">7</w:t>
            </w:r>
          </w:p>
        </w:tc>
        <w:tc>
          <w:tcPr>
            <w:tcW w:type="dxa" w:w="2200"/>
            <w:tcBorders>
              <w:top w:val="single" w:color="BFBFBF" w:sz="4"/>
              <w:left w:val="single" w:color="BFBFBF" w:sz="4"/>
              <w:bottom w:val="single" w:color="BFBFBF" w:sz="4"/>
              <w:right w:val="single" w:color="BFBFBF" w:sz="4"/>
            </w:tcBorders>
            <w:tcMar>
              <w:top w:type="dxa" w:w="100"/>
              <w:left w:type="dxa" w:w="120"/>
              <w:bottom w:type="dxa" w:w="100"/>
              <w:right w:type="dxa" w:w="120"/>
            </w:tcMar>
          </w:tcPr>
          <w:p>
            <w:pPr>
              <w:spacing w:after="20" w:line="280"/>
              <w:jc w:val="left"/>
            </w:pPr>
            <w:r>
              <w:rPr>
                <w:rFonts w:ascii="Consolas" w:cs="Consolas" w:eastAsia="Consolas" w:hAnsi="Consolas"/>
                <w:b w:val="false"/>
                <w:bCs w:val="false"/>
                <w:i w:val="false"/>
                <w:iCs w:val="false"/>
                <w:color w:val="2E75B6"/>
                <w:sz w:val="20"/>
                <w:szCs w:val="20"/>
              </w:rPr>
              <w:t xml:space="preserve">07_failure_case.png</w:t>
            </w:r>
          </w:p>
        </w:tc>
        <w:tc>
          <w:tcPr>
            <w:tcW w:type="dxa" w:w="3700"/>
            <w:tcBorders>
              <w:top w:val="single" w:color="BFBFBF" w:sz="4"/>
              <w:left w:val="single" w:color="BFBFBF" w:sz="4"/>
              <w:bottom w:val="single" w:color="BFBFBF" w:sz="4"/>
              <w:right w:val="single" w:color="BFBFBF" w:sz="4"/>
            </w:tcBorders>
            <w:tcMar>
              <w:top w:type="dxa" w:w="100"/>
              <w:left w:type="dxa" w:w="120"/>
              <w:bottom w:type="dxa" w:w="100"/>
              <w:right w:type="dxa" w:w="120"/>
            </w:tcMar>
          </w:tcPr>
          <w:p>
            <w:pPr>
              <w:spacing w:after="20" w:line="280"/>
              <w:jc w:val="left"/>
            </w:pPr>
            <w:r>
              <w:rPr>
                <w:rFonts w:ascii="Calibri" w:cs="Calibri" w:eastAsia="Calibri" w:hAnsi="Calibri"/>
                <w:b w:val="false"/>
                <w:bCs w:val="false"/>
                <w:i w:val="false"/>
                <w:iCs w:val="false"/>
                <w:color w:val="000000"/>
                <w:sz w:val="20"/>
                <w:szCs w:val="20"/>
              </w:rPr>
              <w:t xml:space="preserve">Boundary case: Scenario 6 (Compromised $17k Emergency Override). Shows the verbatim covert "buyer-only brief" attempting to steer an above-ceiling award (line 291), then the buyer's finalize-segment response: a merit-based Vendor C AWARD_JSON (line 1190), a proactive compliance-review flag with an inspector-general escalation recommendation (lines 1200–1202), the human's finalize veto (line 1205), and the session end with </w:t>
            </w:r>
            <w:r>
              <w:rPr>
                <w:rFonts w:ascii="Consolas" w:cs="Consolas" w:eastAsia="Consolas" w:hAnsi="Consolas"/>
                <w:b w:val="false"/>
                <w:bCs w:val="false"/>
                <w:i w:val="false"/>
                <w:iCs w:val="false"/>
                <w:color w:val="2E75B6"/>
                <w:sz w:val="18"/>
                <w:szCs w:val="18"/>
              </w:rPr>
              <w:t xml:space="preserve">contract_executed=False</w:t>
            </w:r>
            <w:r>
              <w:rPr>
                <w:rFonts w:ascii="Calibri" w:cs="Calibri" w:eastAsia="Calibri" w:hAnsi="Calibri"/>
                <w:b w:val="false"/>
                <w:bCs w:val="false"/>
                <w:i w:val="false"/>
                <w:iCs w:val="false"/>
                <w:color w:val="000000"/>
                <w:sz w:val="20"/>
                <w:szCs w:val="20"/>
              </w:rPr>
              <w:t xml:space="preserve"> (line 1208). A three-column footer explains what the attack tried, what the system did, and what it demonstrates.</w:t>
            </w:r>
          </w:p>
        </w:tc>
        <w:tc>
          <w:tcPr>
            <w:tcW w:type="dxa" w:w="3100"/>
            <w:tcBorders>
              <w:top w:val="single" w:color="BFBFBF" w:sz="4"/>
              <w:left w:val="single" w:color="BFBFBF" w:sz="4"/>
              <w:bottom w:val="single" w:color="BFBFBF" w:sz="4"/>
              <w:right w:val="single" w:color="BFBFBF" w:sz="4"/>
            </w:tcBorders>
            <w:tcMar>
              <w:top w:type="dxa" w:w="100"/>
              <w:left w:type="dxa" w:w="120"/>
              <w:bottom w:type="dxa" w:w="100"/>
              <w:right w:type="dxa" w:w="120"/>
            </w:tcMar>
          </w:tcPr>
          <w:p>
            <w:pPr>
              <w:spacing w:after="20" w:line="280"/>
              <w:jc w:val="left"/>
            </w:pPr>
            <w:r>
              <w:rPr>
                <w:rFonts w:ascii="Calibri" w:cs="Calibri" w:eastAsia="Calibri" w:hAnsi="Calibri"/>
                <w:b w:val="false"/>
                <w:bCs w:val="false"/>
                <w:i w:val="false"/>
                <w:iCs w:val="false"/>
                <w:color w:val="000000"/>
                <w:sz w:val="20"/>
                <w:szCs w:val="20"/>
              </w:rPr>
              <w:t xml:space="preserve">This is the single most vivid evidence in the harvest of defense-in-depth working as designed: model alignment refused the corrupt persona first, the Strategic Advisor documented the integrity incident, and the human gatekeeper exercised terminal judgment to reject even the merit-based in-budget alternative. No contract was ever written.</w:t>
            </w:r>
          </w:p>
        </w:tc>
        <w:tc>
          <w:tcPr>
            <w:tcW w:type="dxa" w:w="3340"/>
            <w:tcBorders>
              <w:top w:val="single" w:color="BFBFBF" w:sz="4"/>
              <w:left w:val="single" w:color="BFBFBF" w:sz="4"/>
              <w:bottom w:val="single" w:color="BFBFBF" w:sz="4"/>
              <w:right w:val="single" w:color="BFBFBF" w:sz="4"/>
            </w:tcBorders>
            <w:tcMar>
              <w:top w:type="dxa" w:w="100"/>
              <w:left w:type="dxa" w:w="120"/>
              <w:bottom w:type="dxa" w:w="100"/>
              <w:right w:type="dxa" w:w="120"/>
            </w:tcMar>
          </w:tcPr>
          <w:p>
            <w:pPr>
              <w:spacing w:after="20" w:line="280"/>
              <w:jc w:val="left"/>
            </w:pPr>
            <w:r>
              <w:rPr>
                <w:rFonts w:ascii="Calibri" w:cs="Calibri" w:eastAsia="Calibri" w:hAnsi="Calibri"/>
                <w:b w:val="false"/>
                <w:bCs w:val="false"/>
                <w:i w:val="false"/>
                <w:iCs w:val="false"/>
                <w:color w:val="000000"/>
                <w:sz w:val="20"/>
                <w:szCs w:val="20"/>
              </w:rPr>
              <w:t xml:space="preserve">Embedded as Figure 5 in Final Report § 6 (Failure Analysis). Also referenced in Phase 3 evaluation report §§ FL-001, FL-003 and Phase 3 Log Evidence Analysis § Part I Scenario 6.</w:t>
            </w:r>
          </w:p>
        </w:tc>
      </w:tr>
      <w:tr>
        <w:trPr>
          <w:cantSplit w:val="false"/>
        </w:trPr>
        <w:tc>
          <w:tcPr>
            <w:tcW w:type="dxa" w:w="620"/>
            <w:tcBorders>
              <w:top w:val="single" w:color="BFBFBF" w:sz="4"/>
              <w:left w:val="single" w:color="BFBFBF" w:sz="4"/>
              <w:bottom w:val="single" w:color="BFBFBF" w:sz="4"/>
              <w:right w:val="single" w:color="BFBFBF" w:sz="4"/>
            </w:tcBorders>
            <w:tcMar>
              <w:top w:type="dxa" w:w="100"/>
              <w:left w:type="dxa" w:w="120"/>
              <w:bottom w:type="dxa" w:w="100"/>
              <w:right w:type="dxa" w:w="120"/>
            </w:tcMar>
          </w:tcPr>
          <w:p>
            <w:pPr>
              <w:spacing w:after="20" w:line="280"/>
              <w:jc w:val="center"/>
            </w:pPr>
            <w:r>
              <w:rPr>
                <w:rFonts w:ascii="Calibri" w:cs="Calibri" w:eastAsia="Calibri" w:hAnsi="Calibri"/>
                <w:b/>
                <w:bCs/>
                <w:i w:val="false"/>
                <w:iCs w:val="false"/>
                <w:color w:val="1F4E79"/>
                <w:sz w:val="20"/>
                <w:szCs w:val="20"/>
              </w:rPr>
              <w:t xml:space="preserve">8</w:t>
            </w:r>
          </w:p>
        </w:tc>
        <w:tc>
          <w:tcPr>
            <w:tcW w:type="dxa" w:w="2200"/>
            <w:tcBorders>
              <w:top w:val="single" w:color="BFBFBF" w:sz="4"/>
              <w:left w:val="single" w:color="BFBFBF" w:sz="4"/>
              <w:bottom w:val="single" w:color="BFBFBF" w:sz="4"/>
              <w:right w:val="single" w:color="BFBFBF" w:sz="4"/>
            </w:tcBorders>
            <w:tcMar>
              <w:top w:type="dxa" w:w="100"/>
              <w:left w:type="dxa" w:w="120"/>
              <w:bottom w:type="dxa" w:w="100"/>
              <w:right w:type="dxa" w:w="120"/>
            </w:tcMar>
          </w:tcPr>
          <w:p>
            <w:pPr>
              <w:spacing w:after="20" w:line="280"/>
              <w:jc w:val="left"/>
            </w:pPr>
            <w:r>
              <w:rPr>
                <w:rFonts w:ascii="Consolas" w:cs="Consolas" w:eastAsia="Consolas" w:hAnsi="Consolas"/>
                <w:b w:val="false"/>
                <w:bCs w:val="false"/>
                <w:i w:val="false"/>
                <w:iCs w:val="false"/>
                <w:color w:val="2E75B6"/>
                <w:sz w:val="20"/>
                <w:szCs w:val="20"/>
              </w:rPr>
              <w:t xml:space="preserve">08_settings_or_controls.png</w:t>
            </w:r>
          </w:p>
        </w:tc>
        <w:tc>
          <w:tcPr>
            <w:tcW w:type="dxa" w:w="3700"/>
            <w:tcBorders>
              <w:top w:val="single" w:color="BFBFBF" w:sz="4"/>
              <w:left w:val="single" w:color="BFBFBF" w:sz="4"/>
              <w:bottom w:val="single" w:color="BFBFBF" w:sz="4"/>
              <w:right w:val="single" w:color="BFBFBF" w:sz="4"/>
            </w:tcBorders>
            <w:tcMar>
              <w:top w:type="dxa" w:w="100"/>
              <w:left w:type="dxa" w:w="120"/>
              <w:bottom w:type="dxa" w:w="100"/>
              <w:right w:type="dxa" w:w="120"/>
            </w:tcMar>
          </w:tcPr>
          <w:p>
            <w:pPr>
              <w:spacing w:after="20" w:line="280"/>
              <w:jc w:val="left"/>
            </w:pPr>
            <w:r>
              <w:rPr>
                <w:rFonts w:ascii="Calibri" w:cs="Calibri" w:eastAsia="Calibri" w:hAnsi="Calibri"/>
                <w:b w:val="false"/>
                <w:bCs w:val="false"/>
                <w:i w:val="false"/>
                <w:iCs w:val="false"/>
                <w:color w:val="000000"/>
                <w:sz w:val="20"/>
                <w:szCs w:val="20"/>
              </w:rPr>
              <w:t xml:space="preserve">The control surface: three representative scenarios (1, 6, 11) from </w:t>
            </w:r>
            <w:r>
              <w:rPr>
                <w:rFonts w:ascii="Consolas" w:cs="Consolas" w:eastAsia="Consolas" w:hAnsi="Consolas"/>
                <w:b w:val="false"/>
                <w:bCs w:val="false"/>
                <w:i w:val="false"/>
                <w:iCs w:val="false"/>
                <w:color w:val="2E75B6"/>
                <w:sz w:val="18"/>
                <w:szCs w:val="18"/>
              </w:rPr>
              <w:t xml:space="preserve">config/scenarios.json</w:t>
            </w:r>
            <w:r>
              <w:rPr>
                <w:rFonts w:ascii="Calibri" w:cs="Calibri" w:eastAsia="Calibri" w:hAnsi="Calibri"/>
                <w:b w:val="false"/>
                <w:bCs w:val="false"/>
                <w:i w:val="false"/>
                <w:iCs w:val="false"/>
                <w:color w:val="000000"/>
                <w:sz w:val="20"/>
                <w:szCs w:val="20"/>
              </w:rPr>
              <w:t xml:space="preserve"> shown as JSON — standard, malicious, and COI modes — with field values sourced from </w:t>
            </w:r>
            <w:r>
              <w:rPr>
                <w:rFonts w:ascii="Consolas" w:cs="Consolas" w:eastAsia="Consolas" w:hAnsi="Consolas"/>
                <w:b w:val="false"/>
                <w:bCs w:val="false"/>
                <w:i w:val="false"/>
                <w:iCs w:val="false"/>
                <w:color w:val="2E75B6"/>
                <w:sz w:val="18"/>
                <w:szCs w:val="18"/>
              </w:rPr>
              <w:t xml:space="preserve">docs/SCENARIOS_AND_RFPS.md</w:t>
            </w:r>
            <w:r>
              <w:rPr>
                <w:rFonts w:ascii="Calibri" w:cs="Calibri" w:eastAsia="Calibri" w:hAnsi="Calibri"/>
                <w:b w:val="false"/>
                <w:bCs w:val="false"/>
                <w:i w:val="false"/>
                <w:iCs w:val="false"/>
                <w:color w:val="000000"/>
                <w:sz w:val="20"/>
                <w:szCs w:val="20"/>
              </w:rPr>
              <w:t xml:space="preserve"> (Scenario 11's </w:t>
            </w:r>
            <w:r>
              <w:rPr>
                <w:rFonts w:ascii="Consolas" w:cs="Consolas" w:eastAsia="Consolas" w:hAnsi="Consolas"/>
                <w:b w:val="false"/>
                <w:bCs w:val="false"/>
                <w:i w:val="false"/>
                <w:iCs w:val="false"/>
                <w:color w:val="2E75B6"/>
                <w:sz w:val="18"/>
                <w:szCs w:val="18"/>
              </w:rPr>
              <w:t xml:space="preserve">buyer_private_brief</w:t>
            </w:r>
            <w:r>
              <w:rPr>
                <w:rFonts w:ascii="Calibri" w:cs="Calibri" w:eastAsia="Calibri" w:hAnsi="Calibri"/>
                <w:b w:val="false"/>
                <w:bCs w:val="false"/>
                <w:i w:val="false"/>
                <w:iCs w:val="false"/>
                <w:color w:val="000000"/>
                <w:sz w:val="20"/>
                <w:szCs w:val="20"/>
              </w:rPr>
              <w:t xml:space="preserve"> is condensed for layout; full text in the source file). A reference panel on the right documents each of the six parameterization fields: </w:t>
            </w:r>
            <w:r>
              <w:rPr>
                <w:rFonts w:ascii="Consolas" w:cs="Consolas" w:eastAsia="Consolas" w:hAnsi="Consolas"/>
                <w:b w:val="false"/>
                <w:bCs w:val="false"/>
                <w:i w:val="false"/>
                <w:iCs w:val="false"/>
                <w:color w:val="2E75B6"/>
                <w:sz w:val="18"/>
                <w:szCs w:val="18"/>
              </w:rPr>
              <w:t xml:space="preserve">mode</w:t>
            </w:r>
            <w:r>
              <w:rPr>
                <w:rFonts w:ascii="Calibri" w:cs="Calibri" w:eastAsia="Calibri" w:hAnsi="Calibri"/>
                <w:b w:val="false"/>
                <w:bCs w:val="false"/>
                <w:i w:val="false"/>
                <w:iCs w:val="false"/>
                <w:color w:val="000000"/>
                <w:sz w:val="20"/>
                <w:szCs w:val="20"/>
              </w:rPr>
              <w:t xml:space="preserve">, </w:t>
            </w:r>
            <w:r>
              <w:rPr>
                <w:rFonts w:ascii="Consolas" w:cs="Consolas" w:eastAsia="Consolas" w:hAnsi="Consolas"/>
                <w:b w:val="false"/>
                <w:bCs w:val="false"/>
                <w:i w:val="false"/>
                <w:iCs w:val="false"/>
                <w:color w:val="2E75B6"/>
                <w:sz w:val="18"/>
                <w:szCs w:val="18"/>
              </w:rPr>
              <w:t xml:space="preserve">budget</w:t>
            </w:r>
            <w:r>
              <w:rPr>
                <w:rFonts w:ascii="Calibri" w:cs="Calibri" w:eastAsia="Calibri" w:hAnsi="Calibri"/>
                <w:b w:val="false"/>
                <w:bCs w:val="false"/>
                <w:i w:val="false"/>
                <w:iCs w:val="false"/>
                <w:color w:val="000000"/>
                <w:sz w:val="20"/>
                <w:szCs w:val="20"/>
              </w:rPr>
              <w:t xml:space="preserve">, </w:t>
            </w:r>
            <w:r>
              <w:rPr>
                <w:rFonts w:ascii="Consolas" w:cs="Consolas" w:eastAsia="Consolas" w:hAnsi="Consolas"/>
                <w:b w:val="false"/>
                <w:bCs w:val="false"/>
                <w:i w:val="false"/>
                <w:iCs w:val="false"/>
                <w:color w:val="2E75B6"/>
                <w:sz w:val="18"/>
                <w:szCs w:val="18"/>
              </w:rPr>
              <w:t xml:space="preserve">hard_budget_ceiling</w:t>
            </w:r>
            <w:r>
              <w:rPr>
                <w:rFonts w:ascii="Calibri" w:cs="Calibri" w:eastAsia="Calibri" w:hAnsi="Calibri"/>
                <w:b w:val="false"/>
                <w:bCs w:val="false"/>
                <w:i w:val="false"/>
                <w:iCs w:val="false"/>
                <w:color w:val="000000"/>
                <w:sz w:val="20"/>
                <w:szCs w:val="20"/>
              </w:rPr>
              <w:t xml:space="preserve">, </w:t>
            </w:r>
            <w:r>
              <w:rPr>
                <w:rFonts w:ascii="Consolas" w:cs="Consolas" w:eastAsia="Consolas" w:hAnsi="Consolas"/>
                <w:b w:val="false"/>
                <w:bCs w:val="false"/>
                <w:i w:val="false"/>
                <w:iCs w:val="false"/>
                <w:color w:val="2E75B6"/>
                <w:sz w:val="18"/>
                <w:szCs w:val="18"/>
              </w:rPr>
              <w:t xml:space="preserve">buyer_private_brief</w:t>
            </w:r>
            <w:r>
              <w:rPr>
                <w:rFonts w:ascii="Calibri" w:cs="Calibri" w:eastAsia="Calibri" w:hAnsi="Calibri"/>
                <w:b w:val="false"/>
                <w:bCs w:val="false"/>
                <w:i w:val="false"/>
                <w:iCs w:val="false"/>
                <w:color w:val="000000"/>
                <w:sz w:val="20"/>
                <w:szCs w:val="20"/>
              </w:rPr>
              <w:t xml:space="preserve">, </w:t>
            </w:r>
            <w:r>
              <w:rPr>
                <w:rFonts w:ascii="Consolas" w:cs="Consolas" w:eastAsia="Consolas" w:hAnsi="Consolas"/>
                <w:b w:val="false"/>
                <w:bCs w:val="false"/>
                <w:i w:val="false"/>
                <w:iCs w:val="false"/>
                <w:color w:val="2E75B6"/>
                <w:sz w:val="18"/>
                <w:szCs w:val="18"/>
              </w:rPr>
              <w:t xml:space="preserve">requirements</w:t>
            </w:r>
            <w:r>
              <w:rPr>
                <w:rFonts w:ascii="Calibri" w:cs="Calibri" w:eastAsia="Calibri" w:hAnsi="Calibri"/>
                <w:b w:val="false"/>
                <w:bCs w:val="false"/>
                <w:i w:val="false"/>
                <w:iCs w:val="false"/>
                <w:color w:val="000000"/>
                <w:sz w:val="20"/>
                <w:szCs w:val="20"/>
              </w:rPr>
              <w:t xml:space="preserve">, </w:t>
            </w:r>
            <w:r>
              <w:rPr>
                <w:rFonts w:ascii="Consolas" w:cs="Consolas" w:eastAsia="Consolas" w:hAnsi="Consolas"/>
                <w:b w:val="false"/>
                <w:bCs w:val="false"/>
                <w:i w:val="false"/>
                <w:iCs w:val="false"/>
                <w:color w:val="2E75B6"/>
                <w:sz w:val="18"/>
                <w:szCs w:val="18"/>
              </w:rPr>
              <w:t xml:space="preserve">relax_public_broadcast</w:t>
            </w:r>
            <w:r>
              <w:rPr>
                <w:rFonts w:ascii="Calibri" w:cs="Calibri" w:eastAsia="Calibri" w:hAnsi="Calibri"/>
                <w:b w:val="false"/>
                <w:bCs w:val="false"/>
                <w:i w:val="false"/>
                <w:iCs w:val="false"/>
                <w:color w:val="000000"/>
                <w:sz w:val="20"/>
                <w:szCs w:val="20"/>
              </w:rPr>
              <w:t xml:space="preserve">.</w:t>
            </w:r>
          </w:p>
        </w:tc>
        <w:tc>
          <w:tcPr>
            <w:tcW w:type="dxa" w:w="3100"/>
            <w:tcBorders>
              <w:top w:val="single" w:color="BFBFBF" w:sz="4"/>
              <w:left w:val="single" w:color="BFBFBF" w:sz="4"/>
              <w:bottom w:val="single" w:color="BFBFBF" w:sz="4"/>
              <w:right w:val="single" w:color="BFBFBF" w:sz="4"/>
            </w:tcBorders>
            <w:tcMar>
              <w:top w:type="dxa" w:w="100"/>
              <w:left w:type="dxa" w:w="120"/>
              <w:bottom w:type="dxa" w:w="100"/>
              <w:right w:type="dxa" w:w="120"/>
            </w:tcMar>
          </w:tcPr>
          <w:p>
            <w:pPr>
              <w:spacing w:after="20" w:line="280"/>
              <w:jc w:val="left"/>
            </w:pPr>
            <w:r>
              <w:rPr>
                <w:rFonts w:ascii="Calibri" w:cs="Calibri" w:eastAsia="Calibri" w:hAnsi="Calibri"/>
                <w:b w:val="false"/>
                <w:bCs w:val="false"/>
                <w:i w:val="false"/>
                <w:iCs w:val="false"/>
                <w:color w:val="000000"/>
                <w:sz w:val="20"/>
                <w:szCs w:val="20"/>
              </w:rPr>
              <w:t xml:space="preserve">Shows how the system is parameterized without a GUI. The distinction between </w:t>
            </w:r>
            <w:r>
              <w:rPr>
                <w:rFonts w:ascii="Consolas" w:cs="Consolas" w:eastAsia="Consolas" w:hAnsi="Consolas"/>
                <w:b w:val="false"/>
                <w:bCs w:val="false"/>
                <w:i w:val="false"/>
                <w:iCs w:val="false"/>
                <w:color w:val="2E75B6"/>
                <w:sz w:val="18"/>
                <w:szCs w:val="18"/>
              </w:rPr>
              <w:t xml:space="preserve">budget</w:t>
            </w:r>
            <w:r>
              <w:rPr>
                <w:rFonts w:ascii="Calibri" w:cs="Calibri" w:eastAsia="Calibri" w:hAnsi="Calibri"/>
                <w:b w:val="false"/>
                <w:bCs w:val="false"/>
                <w:i w:val="false"/>
                <w:iCs w:val="false"/>
                <w:color w:val="000000"/>
                <w:sz w:val="20"/>
                <w:szCs w:val="20"/>
              </w:rPr>
              <w:t xml:space="preserve"> (internal target, visible to the buyer) and </w:t>
            </w:r>
            <w:r>
              <w:rPr>
                <w:rFonts w:ascii="Consolas" w:cs="Consolas" w:eastAsia="Consolas" w:hAnsi="Consolas"/>
                <w:b w:val="false"/>
                <w:bCs w:val="false"/>
                <w:i w:val="false"/>
                <w:iCs w:val="false"/>
                <w:color w:val="2E75B6"/>
                <w:sz w:val="18"/>
                <w:szCs w:val="18"/>
              </w:rPr>
              <w:t xml:space="preserve">hard_budget_ceiling</w:t>
            </w:r>
            <w:r>
              <w:rPr>
                <w:rFonts w:ascii="Calibri" w:cs="Calibri" w:eastAsia="Calibri" w:hAnsi="Calibri"/>
                <w:b w:val="false"/>
                <w:bCs w:val="false"/>
                <w:i w:val="false"/>
                <w:iCs w:val="false"/>
                <w:color w:val="000000"/>
                <w:sz w:val="20"/>
                <w:szCs w:val="20"/>
              </w:rPr>
              <w:t xml:space="preserve"> (enforced by the deterministic guardrail) is the core design choice that separates negotiation pressure from policy enforcement. The </w:t>
            </w:r>
            <w:r>
              <w:rPr>
                <w:rFonts w:ascii="Consolas" w:cs="Consolas" w:eastAsia="Consolas" w:hAnsi="Consolas"/>
                <w:b w:val="false"/>
                <w:bCs w:val="false"/>
                <w:i w:val="false"/>
                <w:iCs w:val="false"/>
                <w:color w:val="2E75B6"/>
                <w:sz w:val="18"/>
                <w:szCs w:val="18"/>
              </w:rPr>
              <w:t xml:space="preserve">buyer_private_brief</w:t>
            </w:r>
            <w:r>
              <w:rPr>
                <w:rFonts w:ascii="Calibri" w:cs="Calibri" w:eastAsia="Calibri" w:hAnsi="Calibri"/>
                <w:b w:val="false"/>
                <w:bCs w:val="false"/>
                <w:i w:val="false"/>
                <w:iCs w:val="false"/>
                <w:color w:val="000000"/>
                <w:sz w:val="20"/>
                <w:szCs w:val="20"/>
              </w:rPr>
              <w:t xml:space="preserve"> field demonstrates the isolation boundary in action — it reaches the buyer but never the vendors.</w:t>
            </w:r>
          </w:p>
        </w:tc>
        <w:tc>
          <w:tcPr>
            <w:tcW w:type="dxa" w:w="3340"/>
            <w:tcBorders>
              <w:top w:val="single" w:color="BFBFBF" w:sz="4"/>
              <w:left w:val="single" w:color="BFBFBF" w:sz="4"/>
              <w:bottom w:val="single" w:color="BFBFBF" w:sz="4"/>
              <w:right w:val="single" w:color="BFBFBF" w:sz="4"/>
            </w:tcBorders>
            <w:tcMar>
              <w:top w:type="dxa" w:w="100"/>
              <w:left w:type="dxa" w:w="120"/>
              <w:bottom w:type="dxa" w:w="100"/>
              <w:right w:type="dxa" w:w="120"/>
            </w:tcMar>
          </w:tcPr>
          <w:p>
            <w:pPr>
              <w:spacing w:after="20" w:line="280"/>
              <w:jc w:val="left"/>
            </w:pPr>
            <w:r>
              <w:rPr>
                <w:rFonts w:ascii="Calibri" w:cs="Calibri" w:eastAsia="Calibri" w:hAnsi="Calibri"/>
                <w:b w:val="false"/>
                <w:bCs w:val="false"/>
                <w:i w:val="false"/>
                <w:iCs w:val="false"/>
                <w:color w:val="000000"/>
                <w:sz w:val="20"/>
                <w:szCs w:val="20"/>
              </w:rPr>
              <w:t xml:space="preserve">Embedded as Figure 2 in Final Report § 3 (Implementation and Build Summary). Also referenced in Phase 2 § 5 (Scope, Boundaries, and Governance).</w:t>
            </w:r>
          </w:p>
        </w:tc>
      </w:tr>
      <w:tr>
        <w:trPr>
          <w:cantSplit w:val="false"/>
        </w:trPr>
        <w:tc>
          <w:tcPr>
            <w:tcW w:type="dxa" w:w="620"/>
            <w:tcBorders>
              <w:top w:val="single" w:color="BFBFBF" w:sz="4"/>
              <w:left w:val="single" w:color="BFBFBF" w:sz="4"/>
              <w:bottom w:val="single" w:color="BFBFBF" w:sz="4"/>
              <w:right w:val="single" w:color="BFBFBF" w:sz="4"/>
            </w:tcBorders>
            <w:tcMar>
              <w:top w:type="dxa" w:w="100"/>
              <w:left w:type="dxa" w:w="120"/>
              <w:bottom w:type="dxa" w:w="100"/>
              <w:right w:type="dxa" w:w="120"/>
            </w:tcMar>
          </w:tcPr>
          <w:p>
            <w:pPr>
              <w:spacing w:after="20" w:line="280"/>
              <w:jc w:val="center"/>
            </w:pPr>
            <w:r>
              <w:rPr>
                <w:rFonts w:ascii="Calibri" w:cs="Calibri" w:eastAsia="Calibri" w:hAnsi="Calibri"/>
                <w:b/>
                <w:bCs/>
                <w:i w:val="false"/>
                <w:iCs w:val="false"/>
                <w:color w:val="1F4E79"/>
                <w:sz w:val="20"/>
                <w:szCs w:val="20"/>
              </w:rPr>
              <w:t xml:space="preserve">9</w:t>
            </w:r>
          </w:p>
        </w:tc>
        <w:tc>
          <w:tcPr>
            <w:tcW w:type="dxa" w:w="2200"/>
            <w:tcBorders>
              <w:top w:val="single" w:color="BFBFBF" w:sz="4"/>
              <w:left w:val="single" w:color="BFBFBF" w:sz="4"/>
              <w:bottom w:val="single" w:color="BFBFBF" w:sz="4"/>
              <w:right w:val="single" w:color="BFBFBF" w:sz="4"/>
            </w:tcBorders>
            <w:tcMar>
              <w:top w:type="dxa" w:w="100"/>
              <w:left w:type="dxa" w:w="120"/>
              <w:bottom w:type="dxa" w:w="100"/>
              <w:right w:type="dxa" w:w="120"/>
            </w:tcMar>
          </w:tcPr>
          <w:p>
            <w:pPr>
              <w:spacing w:after="20" w:line="280"/>
              <w:jc w:val="left"/>
            </w:pPr>
            <w:r>
              <w:rPr>
                <w:rFonts w:ascii="Consolas" w:cs="Consolas" w:eastAsia="Consolas" w:hAnsi="Consolas"/>
                <w:b w:val="false"/>
                <w:bCs w:val="false"/>
                <w:i w:val="false"/>
                <w:iCs w:val="false"/>
                <w:color w:val="2E75B6"/>
                <w:sz w:val="20"/>
                <w:szCs w:val="20"/>
              </w:rPr>
              <w:t xml:space="preserve">09_cfo_narrative.png</w:t>
            </w:r>
          </w:p>
        </w:tc>
        <w:tc>
          <w:tcPr>
            <w:tcW w:type="dxa" w:w="3700"/>
            <w:tcBorders>
              <w:top w:val="single" w:color="BFBFBF" w:sz="4"/>
              <w:left w:val="single" w:color="BFBFBF" w:sz="4"/>
              <w:bottom w:val="single" w:color="BFBFBF" w:sz="4"/>
              <w:right w:val="single" w:color="BFBFBF" w:sz="4"/>
            </w:tcBorders>
            <w:tcMar>
              <w:top w:type="dxa" w:w="100"/>
              <w:left w:type="dxa" w:w="120"/>
              <w:bottom w:type="dxa" w:w="100"/>
              <w:right w:type="dxa" w:w="120"/>
            </w:tcMar>
          </w:tcPr>
          <w:p>
            <w:pPr>
              <w:spacing w:after="20" w:line="280"/>
              <w:jc w:val="left"/>
            </w:pPr>
            <w:r>
              <w:rPr>
                <w:rFonts w:ascii="Calibri" w:cs="Calibri" w:eastAsia="Calibri" w:hAnsi="Calibri"/>
                <w:b w:val="false"/>
                <w:bCs w:val="false"/>
                <w:i w:val="false"/>
                <w:iCs w:val="false"/>
                <w:color w:val="000000"/>
                <w:sz w:val="20"/>
                <w:szCs w:val="20"/>
              </w:rPr>
              <w:t xml:space="preserve">The CFO monthly oversight artifact. Rendered sample of </w:t>
            </w:r>
            <w:r>
              <w:rPr>
                <w:rFonts w:ascii="Consolas" w:cs="Consolas" w:eastAsia="Consolas" w:hAnsi="Consolas"/>
                <w:b w:val="false"/>
                <w:bCs w:val="false"/>
                <w:i w:val="false"/>
                <w:iCs w:val="false"/>
                <w:color w:val="2E75B6"/>
                <w:sz w:val="18"/>
                <w:szCs w:val="18"/>
              </w:rPr>
              <w:t xml:space="preserve">CFO_narrative_2026-04.md</w:t>
            </w:r>
            <w:r>
              <w:rPr>
                <w:rFonts w:ascii="Calibri" w:cs="Calibri" w:eastAsia="Calibri" w:hAnsi="Calibri"/>
                <w:b w:val="false"/>
                <w:bCs w:val="false"/>
                <w:i w:val="false"/>
                <w:iCs w:val="false"/>
                <w:color w:val="000000"/>
                <w:sz w:val="20"/>
                <w:szCs w:val="20"/>
              </w:rPr>
              <w:t xml:space="preserve"> for the April 2026 period (Phase 2 snapshot): total contracted spend ($83,800), sessions-with-award ratio (6/12), zero hard-ceiling violations, per-scenario award breakdown, intervention counts (13 governance nudges, 23 human aborts, 24 strategic audit runs), and three red-flag themes for oversight attention. A reference panel on the right explains the role of this artifact — offline batch, not in the live loop — and the generation command (</w:t>
            </w:r>
            <w:r>
              <w:rPr>
                <w:rFonts w:ascii="Consolas" w:cs="Consolas" w:eastAsia="Consolas" w:hAnsi="Consolas"/>
                <w:b w:val="false"/>
                <w:bCs w:val="false"/>
                <w:i w:val="false"/>
                <w:iCs w:val="false"/>
                <w:color w:val="2E75B6"/>
                <w:sz w:val="18"/>
                <w:szCs w:val="18"/>
              </w:rPr>
              <w:t xml:space="preserve">python scripts/cfo_monthly_report.py --month 2026-04</w:t>
            </w:r>
            <w:r>
              <w:rPr>
                <w:rFonts w:ascii="Calibri" w:cs="Calibri" w:eastAsia="Calibri" w:hAnsi="Calibri"/>
                <w:b w:val="false"/>
                <w:bCs w:val="false"/>
                <w:i w:val="false"/>
                <w:iCs w:val="false"/>
                <w:color w:val="000000"/>
                <w:sz w:val="20"/>
                <w:szCs w:val="20"/>
              </w:rPr>
              <w:t xml:space="preserve">).</w:t>
            </w:r>
          </w:p>
        </w:tc>
        <w:tc>
          <w:tcPr>
            <w:tcW w:type="dxa" w:w="3100"/>
            <w:tcBorders>
              <w:top w:val="single" w:color="BFBFBF" w:sz="4"/>
              <w:left w:val="single" w:color="BFBFBF" w:sz="4"/>
              <w:bottom w:val="single" w:color="BFBFBF" w:sz="4"/>
              <w:right w:val="single" w:color="BFBFBF" w:sz="4"/>
            </w:tcBorders>
            <w:tcMar>
              <w:top w:type="dxa" w:w="100"/>
              <w:left w:type="dxa" w:w="120"/>
              <w:bottom w:type="dxa" w:w="100"/>
              <w:right w:type="dxa" w:w="120"/>
            </w:tcMar>
          </w:tcPr>
          <w:p>
            <w:pPr>
              <w:spacing w:after="20" w:line="280"/>
              <w:jc w:val="left"/>
            </w:pPr>
            <w:r>
              <w:rPr>
                <w:rFonts w:ascii="Calibri" w:cs="Calibri" w:eastAsia="Calibri" w:hAnsi="Calibri"/>
                <w:b w:val="false"/>
                <w:bCs w:val="false"/>
                <w:i w:val="false"/>
                <w:iCs w:val="false"/>
                <w:color w:val="000000"/>
                <w:sz w:val="20"/>
                <w:szCs w:val="20"/>
              </w:rPr>
              <w:t xml:space="preserve">Shows that oversight is not limited to in-session controls. The system produces a monthly executive-readable narrative that surfaces control-effectiveness data (ceiling violations, audit coverage, nudge response rates) and process-improvement opportunities (integrity concerns, value-optimization gaps) to CFO, audit, and procurement leadership — enabling quarterly reporting and control-effectiveness review. This is the oversight-and-process-improvement layer of the architecture.</w:t>
            </w:r>
          </w:p>
        </w:tc>
        <w:tc>
          <w:tcPr>
            <w:tcW w:type="dxa" w:w="3340"/>
            <w:tcBorders>
              <w:top w:val="single" w:color="BFBFBF" w:sz="4"/>
              <w:left w:val="single" w:color="BFBFBF" w:sz="4"/>
              <w:bottom w:val="single" w:color="BFBFBF" w:sz="4"/>
              <w:right w:val="single" w:color="BFBFBF" w:sz="4"/>
            </w:tcBorders>
            <w:tcMar>
              <w:top w:type="dxa" w:w="100"/>
              <w:left w:type="dxa" w:w="120"/>
              <w:bottom w:type="dxa" w:w="100"/>
              <w:right w:type="dxa" w:w="120"/>
            </w:tcMar>
          </w:tcPr>
          <w:p>
            <w:pPr>
              <w:spacing w:after="20" w:line="280"/>
              <w:jc w:val="left"/>
            </w:pPr>
            <w:r>
              <w:rPr>
                <w:rFonts w:ascii="Calibri" w:cs="Calibri" w:eastAsia="Calibri" w:hAnsi="Calibri"/>
                <w:b w:val="false"/>
                <w:bCs w:val="false"/>
                <w:i w:val="false"/>
                <w:iCs w:val="false"/>
                <w:color w:val="000000"/>
                <w:sz w:val="20"/>
                <w:szCs w:val="20"/>
              </w:rPr>
              <w:t xml:space="preserve">Embedded as Figure 6 in Final Report § 7 (Governance and Safety Reflection). Also introduced in § 2.G (Oversight extends beyond the live loop) as a design rationale.</w:t>
            </w:r>
          </w:p>
        </w:tc>
      </w:tr>
    </w:tbl>
    <w:p>
      <w:pPr>
        <w:pStyle w:val="Heading1"/>
        <w:spacing w:after="140" w:before="240"/>
      </w:pPr>
      <w:r>
        <w:rPr>
          <w:rFonts w:ascii="Calibri" w:cs="Calibri" w:eastAsia="Calibri" w:hAnsi="Calibri"/>
          <w:b/>
          <w:bCs/>
          <w:color w:val="1F4E79"/>
          <w:sz w:val="36"/>
          <w:szCs w:val="36"/>
        </w:rPr>
        <w:t xml:space="preserve">Source and verification policy</w:t>
      </w:r>
    </w:p>
    <w:p>
      <w:pPr>
        <w:spacing w:after="120" w:before="0" w:line="300"/>
        <w:jc w:val="left"/>
      </w:pPr>
      <w:r>
        <w:rPr>
          <w:rFonts w:ascii="Calibri" w:cs="Calibri" w:eastAsia="Calibri" w:hAnsi="Calibri"/>
          <w:b w:val="false"/>
          <w:bCs w:val="false"/>
          <w:i w:val="false"/>
          <w:iCs w:val="false"/>
          <w:color w:val="000000"/>
          <w:sz w:val="22"/>
          <w:szCs w:val="22"/>
        </w:rPr>
        <w:t xml:space="preserve">Every figure includes a source-citation footer at the bottom of the image. Claims made in these figures are either:</w:t>
      </w:r>
    </w:p>
    <w:p>
      <w:pPr>
        <w:pStyle w:val="ListParagraph"/>
        <w:numPr>
          <w:ilvl w:val="0"/>
          <w:numId w:val="2"/>
        </w:numPr>
        <w:spacing w:after="80" w:line="300"/>
      </w:pPr>
      <w:r>
        <w:rPr>
          <w:rFonts w:ascii="Calibri" w:cs="Calibri" w:eastAsia="Calibri" w:hAnsi="Calibri"/>
          <w:b/>
          <w:bCs/>
          <w:i w:val="false"/>
          <w:iCs w:val="false"/>
          <w:color w:val="000000"/>
          <w:sz w:val="22"/>
          <w:szCs w:val="22"/>
        </w:rPr>
        <w:t xml:space="preserve">Verbatim</w:t>
      </w:r>
      <w:r>
        <w:rPr>
          <w:rFonts w:ascii="Calibri" w:cs="Calibri" w:eastAsia="Calibri" w:hAnsi="Calibri"/>
          <w:b w:val="false"/>
          <w:bCs w:val="false"/>
          <w:i w:val="false"/>
          <w:iCs w:val="false"/>
          <w:color w:val="000000"/>
          <w:sz w:val="22"/>
          <w:szCs w:val="22"/>
        </w:rPr>
        <w:t xml:space="preserve"> from a named log file with the line number or range cited (all BID_JSON, AWARD_JSON, HUMAN APPROVAL, [award_contract] SUCCESS lines, Strategic Audit Summary text, session banners, and the buyer-private brief in Scenario 6); or</w:t>
      </w:r>
    </w:p>
    <w:p>
      <w:pPr>
        <w:pStyle w:val="ListParagraph"/>
        <w:numPr>
          <w:ilvl w:val="0"/>
          <w:numId w:val="2"/>
        </w:numPr>
        <w:spacing w:after="80" w:line="300"/>
      </w:pPr>
      <w:r>
        <w:rPr>
          <w:rFonts w:ascii="Calibri" w:cs="Calibri" w:eastAsia="Calibri" w:hAnsi="Calibri"/>
          <w:b/>
          <w:bCs/>
          <w:i w:val="false"/>
          <w:iCs w:val="false"/>
          <w:color w:val="000000"/>
          <w:sz w:val="22"/>
          <w:szCs w:val="22"/>
        </w:rPr>
        <w:t xml:space="preserve">Structural</w:t>
      </w:r>
      <w:r>
        <w:rPr>
          <w:rFonts w:ascii="Calibri" w:cs="Calibri" w:eastAsia="Calibri" w:hAnsi="Calibri"/>
          <w:b w:val="false"/>
          <w:bCs w:val="false"/>
          <w:i w:val="false"/>
          <w:iCs w:val="false"/>
          <w:color w:val="000000"/>
          <w:sz w:val="22"/>
          <w:szCs w:val="22"/>
        </w:rPr>
        <w:t xml:space="preserve"> descriptions (architecture, component names, field semantics) sourced from the project's own documentation — Phase 2 report, docs/SCENARIOS_AND_RFPS.md, the canonical architecture SVG — with section references in the footer.</w:t>
      </w:r>
    </w:p>
    <w:p>
      <w:pPr>
        <w:spacing w:after="120" w:before="0" w:line="300"/>
        <w:jc w:val="left"/>
      </w:pPr>
      <w:r>
        <w:rPr>
          <w:rFonts w:ascii="Calibri" w:cs="Calibri" w:eastAsia="Calibri" w:hAnsi="Calibri"/>
          <w:b w:val="false"/>
          <w:bCs w:val="false"/>
          <w:i w:val="false"/>
          <w:iCs w:val="false"/>
          <w:color w:val="000000"/>
          <w:sz w:val="22"/>
          <w:szCs w:val="22"/>
        </w:rPr>
        <w:t xml:space="preserve">No content in these figures was generated from training knowledge or external sources. A reviewer can reproduce every figure by opening the named log file and reading the cited lines.</w:t>
      </w:r>
    </w:p>
    <w:p>
      <w:pPr>
        <w:pStyle w:val="Heading2"/>
        <w:spacing w:after="100" w:before="240"/>
      </w:pPr>
      <w:r>
        <w:rPr>
          <w:rFonts w:ascii="Calibri" w:cs="Calibri" w:eastAsia="Calibri" w:hAnsi="Calibri"/>
          <w:b/>
          <w:bCs/>
          <w:color w:val="1F4E79"/>
          <w:sz w:val="26"/>
          <w:szCs w:val="26"/>
        </w:rPr>
        <w:t xml:space="preserve">File locations</w:t>
      </w:r>
    </w:p>
    <w:p>
      <w:pPr>
        <w:spacing w:after="120" w:before="0" w:line="300"/>
        <w:jc w:val="left"/>
      </w:pPr>
      <w:r>
        <w:rPr>
          <w:rFonts w:ascii="Calibri" w:cs="Calibri" w:eastAsia="Calibri" w:hAnsi="Calibri"/>
          <w:b w:val="false"/>
          <w:bCs w:val="false"/>
          <w:i w:val="false"/>
          <w:iCs w:val="false"/>
          <w:color w:val="000000"/>
          <w:sz w:val="22"/>
          <w:szCs w:val="22"/>
        </w:rPr>
        <w:t xml:space="preserve">All nine PNG files are in </w:t>
      </w:r>
      <w:r>
        <w:rPr>
          <w:rFonts w:ascii="Consolas" w:cs="Consolas" w:eastAsia="Consolas" w:hAnsi="Consolas"/>
          <w:b w:val="false"/>
          <w:bCs w:val="false"/>
          <w:i w:val="false"/>
          <w:iCs w:val="false"/>
          <w:color w:val="2E75B6"/>
          <w:sz w:val="20"/>
          <w:szCs w:val="20"/>
        </w:rPr>
        <w:t xml:space="preserve">docs/screenshots/</w:t>
      </w:r>
      <w:r>
        <w:rPr>
          <w:rFonts w:ascii="Calibri" w:cs="Calibri" w:eastAsia="Calibri" w:hAnsi="Calibri"/>
          <w:b w:val="false"/>
          <w:bCs w:val="false"/>
          <w:i w:val="false"/>
          <w:iCs w:val="false"/>
          <w:color w:val="000000"/>
          <w:sz w:val="22"/>
          <w:szCs w:val="22"/>
        </w:rPr>
        <w:t xml:space="preserve"> in the project repository (relative to the Phase 3 submission root). This index file (</w:t>
      </w:r>
      <w:r>
        <w:rPr>
          <w:rFonts w:ascii="Consolas" w:cs="Consolas" w:eastAsia="Consolas" w:hAnsi="Consolas"/>
          <w:b w:val="false"/>
          <w:bCs w:val="false"/>
          <w:i w:val="false"/>
          <w:iCs w:val="false"/>
          <w:color w:val="2E75B6"/>
          <w:sz w:val="20"/>
          <w:szCs w:val="20"/>
        </w:rPr>
        <w:t xml:space="preserve">screenshot_index.docx</w:t>
      </w:r>
      <w:r>
        <w:rPr>
          <w:rFonts w:ascii="Calibri" w:cs="Calibri" w:eastAsia="Calibri" w:hAnsi="Calibri"/>
          <w:b w:val="false"/>
          <w:bCs w:val="false"/>
          <w:i w:val="false"/>
          <w:iCs w:val="false"/>
          <w:color w:val="000000"/>
          <w:sz w:val="22"/>
          <w:szCs w:val="22"/>
        </w:rPr>
        <w:t xml:space="preserve">) sits alongside them and is also referenced in the project README under the Folder Guide section.</w:t>
      </w:r>
    </w:p>
    <w:sectPr>
      <w:headerReference w:type="default" r:id="rId7"/>
      <w:footerReference w:type="default" r:id="rId8"/>
      <w:pgSz w:w="15840" w:h="12240" w:orient="landscape"/>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95959"/>
        <w:sz w:val="18"/>
        <w:szCs w:val="18"/>
      </w:rPr>
      <w:t xml:space="preserve">Page </w:t>
    </w:r>
    <w:r>
      <w:rPr>
        <w:rFonts w:ascii="Calibri" w:cs="Calibri" w:eastAsia="Calibri" w:hAnsi="Calibri"/>
        <w:color w:val="595959"/>
        <w:sz w:val="18"/>
        <w:szCs w:val="18"/>
      </w:rPr>
      <w:fldChar w:fldCharType="begin"/>
      <w:instrText xml:space="preserve">PAGE</w:instrText>
      <w:fldChar w:fldCharType="separate"/>
      <w:fldChar w:fldCharType="end"/>
    </w:r>
    <w:r>
      <w:rPr>
        <w:rFonts w:ascii="Calibri" w:cs="Calibri" w:eastAsia="Calibri" w:hAnsi="Calibri"/>
        <w:color w:val="595959"/>
        <w:sz w:val="18"/>
        <w:szCs w:val="18"/>
      </w:rPr>
      <w:t xml:space="preserve"> of </w:t>
    </w:r>
    <w:r>
      <w:rPr>
        <w:rFonts w:ascii="Calibri" w:cs="Calibri" w:eastAsia="Calibri" w:hAnsi="Calibri"/>
        <w:color w:val="59595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595959"/>
        <w:sz w:val="18"/>
        <w:szCs w:val="18"/>
      </w:rPr>
      <w:t xml:space="preserve">Screenshot Index  ·  The AI Bidding War  ·  Phase 3 Submission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240"/>
      <w:outlineLvl w:val="0"/>
    </w:pPr>
    <w:rPr>
      <w:rFonts w:ascii="Calibri" w:cs="Calibri" w:eastAsia="Calibri" w:hAnsi="Calibri"/>
      <w:b/>
      <w:bCs/>
      <w:color w:val="1F4E79"/>
      <w:sz w:val="36"/>
      <w:szCs w:val="36"/>
    </w:rPr>
  </w:style>
  <w:style w:type="paragraph" w:styleId="Heading2">
    <w:name w:val="Heading 2"/>
    <w:basedOn w:val="Normal"/>
    <w:next w:val="Normal"/>
    <w:qFormat/>
    <w:pPr>
      <w:spacing w:after="100" w:before="200"/>
      <w:outlineLvl w:val="1"/>
    </w:pPr>
    <w:rPr>
      <w:rFonts w:ascii="Calibri" w:cs="Calibri" w:eastAsia="Calibri" w:hAnsi="Calibri"/>
      <w:b/>
      <w:bCs/>
      <w:color w:val="1F4E79"/>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Screenshot Index — The AI Bidding War</dc:title>
  <dc:creator>Asli Gulcur</dc:creator>
  <dc:description>Screenshot index following the Agentic Systems Studio page-15 template</dc:description>
  <cp:lastModifiedBy>Un-named</cp:lastModifiedBy>
  <cp:revision>1</cp:revision>
  <dcterms:created xsi:type="dcterms:W3CDTF">2026-04-19T06:11:08.677Z</dcterms:created>
  <dcterms:modified xsi:type="dcterms:W3CDTF">2026-04-19T06:11:08.678Z</dcterms:modified>
</cp:coreProperties>
</file>

<file path=docProps/custom.xml><?xml version="1.0" encoding="utf-8"?>
<Properties xmlns="http://schemas.openxmlformats.org/officeDocument/2006/custom-properties" xmlns:vt="http://schemas.openxmlformats.org/officeDocument/2006/docPropsVTypes"/>
</file>