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0"/>
      </w:pPr>
      <w:r>
        <w:rPr>
          <w:b/>
          <w:bCs/>
          <w:caps/>
          <w:color w:val="6B2233"/>
          <w:sz w:val="20"/>
          <w:szCs w:val="20"/>
        </w:rPr>
        <w:t xml:space="preserve">BAHAN BACAAN</w:t>
      </w:r>
    </w:p>
    <w:p>
      <w:pPr>
        <w:spacing w:after="60"/>
      </w:pPr>
      <w:r>
        <w:rPr>
          <w:b/>
          <w:bCs/>
          <w:color w:val="2E3192"/>
          <w:sz w:val="52"/>
          <w:szCs w:val="52"/>
        </w:rPr>
        <w:t xml:space="preserve">Framing Business Ethics</w:t>
      </w:r>
    </w:p>
    <w:p>
      <w:pPr>
        <w:spacing w:after="300"/>
      </w:pPr>
      <w:r>
        <w:rPr>
          <w:i/>
          <w:iCs/>
          <w:color w:val="595959"/>
          <w:sz w:val="26"/>
          <w:szCs w:val="26"/>
        </w:rPr>
        <w:t xml:space="preserve">Tanggung Jawab Perusahaan, Stakeholder, dan Corporate Citizenship — beserta Studi Kasus PT Djarum</w:t>
      </w:r>
    </w:p>
    <w:p>
      <w:pPr>
        <w:spacing w:after="40"/>
      </w:pPr>
      <w:r>
        <w:rPr>
          <w:sz w:val="22"/>
          <w:szCs w:val="22"/>
        </w:rPr>
        <w:t xml:space="preserve">Mata kuliah: Business Ethics for Business Sustainability — Bab 2</w:t>
      </w:r>
    </w:p>
    <w:p>
      <w:pPr>
        <w:spacing w:after="40"/>
      </w:pPr>
      <w:r>
        <w:rPr>
          <w:sz w:val="22"/>
          <w:szCs w:val="22"/>
        </w:rPr>
        <w:t xml:space="preserve">Grup 1: Lazuardi Arsy · Aulia Sisca Rahmadiyanti · Tegar Awanto</w:t>
      </w:r>
    </w:p>
    <w:p>
      <w:pPr>
        <w:spacing w:after="500"/>
      </w:pPr>
      <w:r>
        <w:rPr>
          <w:color w:val="595959"/>
          <w:sz w:val="20"/>
          <w:szCs w:val="20"/>
        </w:rPr>
        <w:t xml:space="preserve">Sumber utama: Crane, Matten, Glozer &amp; Spence (2019), Business Ethics, 5th ed., Oxford University Press, Bab 2.</w:t>
      </w:r>
    </w:p>
    <w:tbl>
      <w:tblPr>
        <w:tblW w:type="dxa" w:w="9360"/>
        <w:tblBorders>
          <w:top w:val="none"/>
          <w:left w:val="none"/>
          <w:bottom w:val="none"/>
          <w:right w:val="none"/>
          <w:insideH w:val="none"/>
          <w:insideV w:val="none"/>
        </w:tblBorders>
      </w:tblPr>
      <w:tblGrid>
        <w:gridCol w:w="9360"/>
      </w:tblGrid>
      <w:tr>
        <w:tc>
          <w:tcPr>
            <w:tcW w:type="dxa" w:w="9360"/>
            <w:shd w:fill="F7F3F0" w:val="clear"/>
            <w:tcMar>
              <w:top w:type="dxa" w:w="140"/>
              <w:left w:type="dxa" w:w="200"/>
              <w:bottom w:type="dxa" w:w="140"/>
              <w:right w:type="dxa" w:w="200"/>
            </w:tcMar>
          </w:tcPr>
          <w:p>
            <w:pPr>
              <w:spacing w:after="0"/>
            </w:pPr>
            <w:r>
              <w:rPr>
                <w:b/>
                <w:bCs/>
              </w:rPr>
              <w:t xml:space="preserve">Cara memakai bahan ini. </w:t>
            </w:r>
            <w:r>
              <w:t xml:space="preserve">Dokumen ini menjelaskan seluruh materi presentasi dengan bahasa sehari-hari, mengikuti urutan slide. Bagian 1 sampai 4 berisi teori dari buku; Bagian 5 menerapkan teori itu pada kasus nyata PT Djarum. Di bagian akhir ada glosarium istilah dan pertanyaan latihan.</w:t>
            </w:r>
          </w:p>
        </w:tc>
      </w:tr>
    </w:tbl>
    <w:p>
      <w:pPr>
        <w:pStyle w:val="Heading1"/>
        <w:pageBreakBefore/>
      </w:pPr>
      <w:r>
        <w:t xml:space="preserve">Pengantar: Tiga Pertanyaan Besar</w:t>
      </w:r>
    </w:p>
    <w:p>
      <w:r>
        <w:t xml:space="preserve">Bab 1 buku ini mendefinisikan etika bisnis sebagai studi tentang situasi dan keputusan bisnis di mana persoalan benar dan salah dibahas. Bab 2 melangkah lebih jauh dengan satu pertanyaan dasar: apakah perusahaan hanya bertugas memproduksi barang dan jasa secara menguntungkan, atau ia juga memikul tanggung jawab yang lebih luas kepada masyarakat?</w:t>
      </w:r>
    </w:p>
    <w:p>
      <w:r>
        <w:t xml:space="preserve">Untuk menjawabnya, bab ini menawarkan tiga kerangka berpikir yang saling melengkapi. Ketiganya bisa diringkas menjadi tiga pertanyaan:</w:t>
      </w:r>
    </w:p>
    <w:p>
      <w:pPr>
        <w:pStyle w:val="ListParagraph"/>
        <w:numPr>
          <w:ilvl w:val="0"/>
          <w:numId w:val="2"/>
        </w:numPr>
      </w:pPr>
      <w:r>
        <w:rPr>
          <w:b/>
          <w:bCs/>
        </w:rPr>
        <w:t xml:space="preserve">CSR (Corporate Social Responsibility): </w:t>
      </w:r>
      <w:r>
        <w:t xml:space="preserve">APA saja isi tanggung jawab sosial perusahaan?</w:t>
      </w:r>
    </w:p>
    <w:p>
      <w:pPr>
        <w:pStyle w:val="ListParagraph"/>
        <w:numPr>
          <w:ilvl w:val="0"/>
          <w:numId w:val="2"/>
        </w:numPr>
      </w:pPr>
      <w:r>
        <w:rPr>
          <w:b/>
          <w:bCs/>
        </w:rPr>
        <w:t xml:space="preserve">Stakeholder theory: </w:t>
      </w:r>
      <w:r>
        <w:t xml:space="preserve">KEPADA SIAPA perusahaan bertanggung jawab?</w:t>
      </w:r>
    </w:p>
    <w:p>
      <w:pPr>
        <w:pStyle w:val="ListParagraph"/>
        <w:numPr>
          <w:ilvl w:val="0"/>
          <w:numId w:val="2"/>
        </w:numPr>
      </w:pPr>
      <w:r>
        <w:rPr>
          <w:b/>
          <w:bCs/>
        </w:rPr>
        <w:t xml:space="preserve">Corporate citizenship: </w:t>
      </w:r>
      <w:r>
        <w:t xml:space="preserve">DENGAN KUASA APA perusahaan mengambil peran yang biasanya dipegang negara?</w:t>
      </w:r>
    </w:p>
    <w:p>
      <w:r>
        <w:t xml:space="preserve">Sebelum masuk ke tiga kerangka itu, ada satu urusan yang harus dibereskan lebih dulu: apa sebenarnya korporasi itu, dan masuk akalkah menuntut sebuah perusahaan — bukan orang — untuk bertanggung jawab secara moral?</w:t>
      </w:r>
    </w:p>
    <w:tbl>
      <w:tblPr>
        <w:tblW w:type="dxa" w:w="9360"/>
        <w:tblBorders>
          <w:top w:val="none"/>
          <w:left w:val="none"/>
          <w:bottom w:val="none"/>
          <w:right w:val="none"/>
          <w:insideH w:val="none"/>
          <w:insideV w:val="none"/>
        </w:tblBorders>
      </w:tblPr>
      <w:tblGrid>
        <w:gridCol w:w="9360"/>
      </w:tblGrid>
      <w:tr>
        <w:tc>
          <w:tcPr>
            <w:tcW w:type="dxa" w:w="9360"/>
            <w:shd w:fill="F2F2F5" w:val="clear"/>
            <w:tcMar>
              <w:top w:type="dxa" w:w="140"/>
              <w:left w:type="dxa" w:w="200"/>
              <w:bottom w:type="dxa" w:w="140"/>
              <w:right w:type="dxa" w:w="200"/>
            </w:tcMar>
          </w:tcPr>
          <w:p>
            <w:pPr>
              <w:spacing w:after="0"/>
            </w:pPr>
            <w:r>
              <w:rPr>
                <w:b/>
                <w:bCs/>
              </w:rPr>
              <w:t xml:space="preserve">Latar yang perlu diketahui: keberatan Milton Friedman (1970). </w:t>
            </w:r>
            <w:r>
              <w:t xml:space="preserve">Ekonom peraih Nobel ini menulis artikel terkenal berjudul "The social responsibility of business is to increase its profits". Ia mengajukan tiga keberatan: (1) hanya manusia yang punya tanggung jawab moral, korporasi tidak; (2) tugas manajer hanyalah mencari laba untuk pemegang saham — memakai uang perusahaan untuk tujuan sosial sama saja "mencuri" dari mereka; (3) masalah sosial adalah urusan pemerintah, bukan manajer. Hampir seluruh isi Bab 2 adalah jawaban berurutan atas tiga keberatan ini.</w:t>
            </w:r>
          </w:p>
        </w:tc>
      </w:tr>
    </w:tbl>
    <w:p>
      <w:pPr>
        <w:pStyle w:val="Heading1"/>
      </w:pPr>
      <w:r>
        <w:t xml:space="preserve">Bagian 1 — Korporasi sebagai Entitas Hukum dan Moral</w:t>
      </w:r>
    </w:p>
    <w:p>
      <w:pPr>
        <w:pStyle w:val="Heading2"/>
      </w:pPr>
      <w:r>
        <w:t xml:space="preserve">1.1 Apa itu korporasi?</w:t>
      </w:r>
    </w:p>
    <w:p>
      <w:r>
        <w:t xml:space="preserve">Korporasi adalah badan hukum yang berdiri sendiri. Ia punya identitas, aset, dan budaya sendiri, serta bisa mengambil keputusan melalui organisasinya. Karena berdiri sendiri itulah, korporasi bisa dimintai tanggung jawab atas dampak tindakannya.</w:t>
      </w:r>
    </w:p>
    <w:p>
      <w:r>
        <w:t xml:space="preserve">Dari definisi tersebut ada tiga hal penting:</w:t>
      </w:r>
    </w:p>
    <w:p>
      <w:pPr>
        <w:pStyle w:val="ListParagraph"/>
        <w:numPr>
          <w:ilvl w:val="0"/>
          <w:numId w:val="3"/>
        </w:numPr>
      </w:pPr>
      <w:r>
        <w:rPr>
          <w:b/>
          <w:bCs/>
        </w:rPr>
        <w:t xml:space="preserve">"Orang buatan" di mata hukum (artificial person). </w:t>
      </w:r>
      <w:r>
        <w:t xml:space="preserve">Hukum memperlakukan korporasi seperti layaknya warga negara: ia bisa membuat kontrak, membayar pajak, menggugat, dan digugat.</w:t>
      </w:r>
    </w:p>
    <w:p>
      <w:pPr>
        <w:pStyle w:val="ListParagraph"/>
        <w:numPr>
          <w:ilvl w:val="0"/>
          <w:numId w:val="3"/>
        </w:numPr>
      </w:pPr>
      <w:r>
        <w:rPr>
          <w:b/>
          <w:bCs/>
        </w:rPr>
        <w:t xml:space="preserve">Milik pemegang saham, tetapi berdiri sendiri. </w:t>
      </w:r>
      <w:r>
        <w:t xml:space="preserve">Pabrik dan kantor adalah milik perusahaan, bukan milik pemegang saham. Kalau perusahaan bangkrut atau digugat, pemegang saham tidak ikut menanggung utangnya — inilah yang disebut limited liability (tanggung jawab terbatas).</w:t>
      </w:r>
    </w:p>
    <w:p>
      <w:pPr>
        <w:pStyle w:val="ListParagraph"/>
        <w:numPr>
          <w:ilvl w:val="0"/>
          <w:numId w:val="3"/>
        </w:numPr>
      </w:pPr>
      <w:r>
        <w:rPr>
          <w:b/>
          <w:bCs/>
        </w:rPr>
        <w:t xml:space="preserve">Pengurus memikul tanggung jawab fiduciary. </w:t>
      </w:r>
      <w:r>
        <w:t xml:space="preserve">Direksi dan manajer wajib mengelola perusahaan demi kepentingan investasi pemegang saham — mereka dititipi uang orang lain.</w:t>
      </w:r>
    </w:p>
    <w:p>
      <w:r>
        <w:t xml:space="preserve">Namun ada satu catatan penting: tanggung jawab hukum belum sama dengan tanggung jawab moral. Manusia bisa merasa bangga atau malu atas perbuatannya; benda mati tidak. Maka pertanyaannya harus dipertajam: bisakah korporasi bertanggung jawab secara moral?</w:t>
      </w:r>
    </w:p>
    <w:p>
      <w:pPr>
        <w:pStyle w:val="Heading2"/>
      </w:pPr>
      <w:r>
        <w:t xml:space="preserve">1.2 Empat alasan korporasi bisa dimintai tanggung jawab moral</w:t>
      </w:r>
    </w:p>
    <w:p>
      <w:r>
        <w:t xml:space="preserve">Buku menjawab keberatan pertama Friedman dengan empat ciri korporasi (Tabel 2.1). Keempatnya menunjukkan bahwa perusahaan bukan sekadar kumpulan individu di bawah satu atap, melainkan entitas tersendiri: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E3192" w:val="clear"/>
            <w:tcMar>
              <w:top w:type="dxa" w:w="90"/>
              <w:left w:type="dxa" w:w="120"/>
              <w:bottom w:type="dxa" w:w="90"/>
              <w:right w:type="dxa" w:w="120"/>
            </w:tcMar>
            <w:vAlign w:val="center"/>
          </w:tcPr>
          <w:p>
            <w:pPr>
              <w:spacing w:after="0"/>
            </w:pPr>
            <w:r>
              <w:rPr>
                <w:b/>
                <w:bCs/>
                <w:color w:val="FFFFFF"/>
                <w:sz w:val="20"/>
                <w:szCs w:val="20"/>
              </w:rPr>
              <w:t xml:space="preserve">Ciri</w:t>
            </w:r>
          </w:p>
        </w:tc>
        <w:tc>
          <w:tcPr>
            <w:tcW w:type="dxa" w:w="6760"/>
            <w:shd w:fill="2E3192" w:val="clear"/>
            <w:tcMar>
              <w:top w:type="dxa" w:w="90"/>
              <w:left w:type="dxa" w:w="120"/>
              <w:bottom w:type="dxa" w:w="90"/>
              <w:right w:type="dxa" w:w="120"/>
            </w:tcMar>
            <w:vAlign w:val="center"/>
          </w:tcPr>
          <w:p>
            <w:pPr>
              <w:spacing w:after="0"/>
            </w:pPr>
            <w:r>
              <w:rPr>
                <w:b/>
                <w:bCs/>
                <w:color w:val="FFFFFF"/>
                <w:sz w:val="20"/>
                <w:szCs w:val="20"/>
              </w:rPr>
              <w:t xml:space="preserve">Artinya secara sederhana</w:t>
            </w:r>
          </w:p>
        </w:tc>
      </w:tr>
      <w:tr>
        <w:tc>
          <w:tcPr>
            <w:tcW w:type="dxa" w:w="2600"/>
            <w:tcMar>
              <w:top w:type="dxa" w:w="90"/>
              <w:left w:type="dxa" w:w="120"/>
              <w:bottom w:type="dxa" w:w="90"/>
              <w:right w:type="dxa" w:w="120"/>
            </w:tcMar>
            <w:vAlign w:val="center"/>
          </w:tcPr>
          <w:p>
            <w:pPr>
              <w:spacing w:after="0"/>
            </w:pPr>
            <w:r>
              <w:rPr>
                <w:sz w:val="20"/>
                <w:szCs w:val="20"/>
              </w:rPr>
              <w:t xml:space="preserve">Legal identity</w:t>
            </w:r>
          </w:p>
        </w:tc>
        <w:tc>
          <w:tcPr>
            <w:tcW w:type="dxa" w:w="6760"/>
            <w:tcMar>
              <w:top w:type="dxa" w:w="90"/>
              <w:left w:type="dxa" w:w="120"/>
              <w:bottom w:type="dxa" w:w="90"/>
              <w:right w:type="dxa" w:w="120"/>
            </w:tcMar>
            <w:vAlign w:val="center"/>
          </w:tcPr>
          <w:p>
            <w:pPr>
              <w:spacing w:after="0"/>
            </w:pPr>
            <w:r>
              <w:rPr>
                <w:sz w:val="20"/>
                <w:szCs w:val="20"/>
              </w:rPr>
              <w:t xml:space="preserve">Perusahaan diakui hukum sebagai pihak tersendiri: berkontrak, membayar pajak, bisa menuntut dan dituntut.</w:t>
            </w:r>
          </w:p>
        </w:tc>
      </w:tr>
      <w:tr>
        <w:tc>
          <w:tcPr>
            <w:tcW w:type="dxa" w:w="2600"/>
            <w:tcMar>
              <w:top w:type="dxa" w:w="90"/>
              <w:left w:type="dxa" w:w="120"/>
              <w:bottom w:type="dxa" w:w="90"/>
              <w:right w:type="dxa" w:w="120"/>
            </w:tcMar>
            <w:vAlign w:val="center"/>
          </w:tcPr>
          <w:p>
            <w:pPr>
              <w:spacing w:after="0"/>
            </w:pPr>
            <w:r>
              <w:rPr>
                <w:sz w:val="20"/>
                <w:szCs w:val="20"/>
              </w:rPr>
              <w:t xml:space="preserve">Agency</w:t>
            </w:r>
          </w:p>
        </w:tc>
        <w:tc>
          <w:tcPr>
            <w:tcW w:type="dxa" w:w="6760"/>
            <w:tcMar>
              <w:top w:type="dxa" w:w="90"/>
              <w:left w:type="dxa" w:w="120"/>
              <w:bottom w:type="dxa" w:w="90"/>
              <w:right w:type="dxa" w:w="120"/>
            </w:tcMar>
            <w:vAlign w:val="center"/>
          </w:tcPr>
          <w:p>
            <w:pPr>
              <w:spacing w:after="0"/>
            </w:pPr>
            <w:r>
              <w:rPr>
                <w:sz w:val="20"/>
                <w:szCs w:val="20"/>
              </w:rPr>
              <w:t xml:space="preserve">Perusahaan bisa mengambil keputusan sendiri, lepas dari individu di dalamnya, lewat kebijakan dan prosedur internal. Orang boleh berganti, keputusan tetap "keputusan perusahaan".</w:t>
            </w:r>
          </w:p>
        </w:tc>
      </w:tr>
      <w:tr>
        <w:tc>
          <w:tcPr>
            <w:tcW w:type="dxa" w:w="2600"/>
            <w:tcMar>
              <w:top w:type="dxa" w:w="90"/>
              <w:left w:type="dxa" w:w="120"/>
              <w:bottom w:type="dxa" w:w="90"/>
              <w:right w:type="dxa" w:w="120"/>
            </w:tcMar>
            <w:vAlign w:val="center"/>
          </w:tcPr>
          <w:p>
            <w:pPr>
              <w:spacing w:after="0"/>
            </w:pPr>
            <w:r>
              <w:rPr>
                <w:sz w:val="20"/>
                <w:szCs w:val="20"/>
              </w:rPr>
              <w:t xml:space="preserve">Organizational culture</w:t>
            </w:r>
          </w:p>
        </w:tc>
        <w:tc>
          <w:tcPr>
            <w:tcW w:type="dxa" w:w="6760"/>
            <w:tcMar>
              <w:top w:type="dxa" w:w="90"/>
              <w:left w:type="dxa" w:w="120"/>
              <w:bottom w:type="dxa" w:w="90"/>
              <w:right w:type="dxa" w:w="120"/>
            </w:tcMar>
            <w:vAlign w:val="center"/>
          </w:tcPr>
          <w:p>
            <w:pPr>
              <w:spacing w:after="0"/>
            </w:pPr>
            <w:r>
              <w:rPr>
                <w:sz w:val="20"/>
                <w:szCs w:val="20"/>
              </w:rPr>
              <w:t xml:space="preserve">Perusahaan punya nilai dan keyakinan bersama tentang apa yang benar dan salah, yang memengaruhi perilaku orang-orangnya.</w:t>
            </w:r>
          </w:p>
        </w:tc>
      </w:tr>
      <w:tr>
        <w:tc>
          <w:tcPr>
            <w:tcW w:type="dxa" w:w="2600"/>
            <w:tcMar>
              <w:top w:type="dxa" w:w="90"/>
              <w:left w:type="dxa" w:w="120"/>
              <w:bottom w:type="dxa" w:w="90"/>
              <w:right w:type="dxa" w:w="120"/>
            </w:tcMar>
            <w:vAlign w:val="center"/>
          </w:tcPr>
          <w:p>
            <w:pPr>
              <w:spacing w:after="0"/>
            </w:pPr>
            <w:r>
              <w:rPr>
                <w:sz w:val="20"/>
                <w:szCs w:val="20"/>
              </w:rPr>
              <w:t xml:space="preserve">Functional identity</w:t>
            </w:r>
          </w:p>
        </w:tc>
        <w:tc>
          <w:tcPr>
            <w:tcW w:type="dxa" w:w="6760"/>
            <w:tcMar>
              <w:top w:type="dxa" w:w="90"/>
              <w:left w:type="dxa" w:w="120"/>
              <w:bottom w:type="dxa" w:w="90"/>
              <w:right w:type="dxa" w:w="120"/>
            </w:tcMar>
            <w:vAlign w:val="center"/>
          </w:tcPr>
          <w:p>
            <w:pPr>
              <w:spacing w:after="0"/>
            </w:pPr>
            <w:r>
              <w:rPr>
                <w:sz w:val="20"/>
                <w:szCs w:val="20"/>
              </w:rPr>
              <w:t xml:space="preserve">Perusahaan tampil ke publik seolah pribadi tersendiri — membangun citra, bahkan menyebut dirinya "warga korporat yang baik".</w:t>
            </w:r>
          </w:p>
        </w:tc>
      </w:tr>
    </w:tbl>
    <w:p>
      <w:r>
        <w:rPr>
          <w:b/>
          <w:bCs/>
        </w:rPr>
        <w:t xml:space="preserve">Kesimpulannya: </w:t>
      </w:r>
      <w:r>
        <w:t xml:space="preserve">korporasi memang punya tanggung jawab moral, dan tanggung jawab itu lebih besar daripada sekadar penjumlahan tanggung jawab orang-orang di dalamnya. Inilah dasar untuk menuntut PT Djarum sebagai perusahaan, bukan hanya manajernya.</w:t>
      </w:r>
    </w:p>
    <w:p>
      <w:pPr>
        <w:pStyle w:val="Heading1"/>
      </w:pPr>
      <w:r>
        <w:t xml:space="preserve">Bagian 2 — Corporate Social Responsibility (CSR)</w:t>
      </w:r>
    </w:p>
    <w:p>
      <w:r>
        <w:t xml:space="preserve">Dua pertanyaan memandu seluruh pembahasan CSR: mengapa perusahaan punya tanggung jawab sosial, dan apa isi tanggung jawab itu.</w:t>
      </w:r>
    </w:p>
    <w:p>
      <w:pPr>
        <w:pStyle w:val="Heading2"/>
      </w:pPr>
      <w:r>
        <w:t xml:space="preserve">2.1 Definisi dan alasan ber-CSR</w:t>
      </w:r>
    </w:p>
    <w:tbl>
      <w:tblPr>
        <w:tblW w:type="dxa" w:w="9360"/>
        <w:tblBorders>
          <w:top w:val="none"/>
          <w:left w:val="none"/>
          <w:bottom w:val="none"/>
          <w:right w:val="none"/>
          <w:insideH w:val="none"/>
          <w:insideV w:val="none"/>
        </w:tblBorders>
      </w:tblPr>
      <w:tblGrid>
        <w:gridCol w:w="9360"/>
      </w:tblGrid>
      <w:tr>
        <w:tc>
          <w:tcPr>
            <w:tcW w:type="dxa" w:w="9360"/>
            <w:shd w:fill="F2F2F5" w:val="clear"/>
            <w:tcMar>
              <w:top w:type="dxa" w:w="140"/>
              <w:left w:type="dxa" w:w="200"/>
              <w:bottom w:type="dxa" w:w="140"/>
              <w:right w:type="dxa" w:w="200"/>
            </w:tcMar>
          </w:tcPr>
          <w:p>
            <w:pPr>
              <w:spacing w:after="0"/>
            </w:pPr>
            <w:r>
              <w:rPr>
                <w:b/>
                <w:bCs/>
              </w:rPr>
              <w:t xml:space="preserve">Definisi CSR: </w:t>
            </w:r>
            <w:r>
              <w:rPr>
                <w:i/>
                <w:iCs/>
              </w:rPr>
              <w:t xml:space="preserve">upaya perusahaan memenuhi tuntutan ekonomi, hukum, etis, dan filantropis dari masyarakat pada suatu waktu tertentu.</w:t>
            </w:r>
          </w:p>
        </w:tc>
      </w:tr>
    </w:tbl>
    <w:p>
      <w:r>
        <w:t xml:space="preserve">Sebagian besar alasan ber-CSR bertumpu pada </w:t>
      </w:r>
      <w:r>
        <w:rPr>
          <w:i/>
          <w:iCs/>
        </w:rPr>
        <w:t xml:space="preserve">enlightened self-interest</w:t>
      </w:r>
      <w:r>
        <w:t xml:space="preserve"> — "kepentingan diri yang tercerahkan". Maksudnya, perusahaan berbuat baik bukan semata karena mulia, tetapi karena berbuat baik itu sejalan dengan kepentingannya sendiri. Inilah "business case for CSR", dengan empat pendorong utama:</w:t>
      </w:r>
    </w:p>
    <w:p>
      <w:pPr>
        <w:pStyle w:val="ListParagraph"/>
        <w:numPr>
          <w:ilvl w:val="0"/>
          <w:numId w:val="3"/>
        </w:numPr>
      </w:pPr>
      <w:r>
        <w:rPr>
          <w:b/>
          <w:bCs/>
        </w:rPr>
        <w:t xml:space="preserve">Menaikkan pendapatan jangka panjang. </w:t>
      </w:r>
      <w:r>
        <w:t xml:space="preserve">Pelanggan lebih puas dan karyawan lebih betah pada perusahaan yang bertanggung jawab sosial.</w:t>
      </w:r>
    </w:p>
    <w:p>
      <w:pPr>
        <w:pStyle w:val="ListParagraph"/>
        <w:numPr>
          <w:ilvl w:val="0"/>
          <w:numId w:val="3"/>
        </w:numPr>
      </w:pPr>
      <w:r>
        <w:rPr>
          <w:b/>
          <w:bCs/>
        </w:rPr>
        <w:t xml:space="preserve">Mengelola risiko. </w:t>
      </w:r>
      <w:r>
        <w:t xml:space="preserve">Komitmen sosial sukarela bisa mencegah datangnya regulasi yang lebih ketat — contohnya desakan pengaturan keselamatan kerja setelah tragedi runtuhnya pabrik Rana Plaza di Bangladesh (2013).</w:t>
      </w:r>
    </w:p>
    <w:p>
      <w:pPr>
        <w:pStyle w:val="ListParagraph"/>
        <w:numPr>
          <w:ilvl w:val="0"/>
          <w:numId w:val="3"/>
        </w:numPr>
      </w:pPr>
      <w:r>
        <w:rPr>
          <w:b/>
          <w:bCs/>
        </w:rPr>
        <w:t xml:space="preserve">Menekan biaya. </w:t>
      </w:r>
      <w:r>
        <w:t xml:space="preserve">Hemat energi dan mengurangi limbah berarti hemat uang — Walmart diperkirakan menghemat US$1 miliar dari langkah-langkah semacam ini.</w:t>
      </w:r>
    </w:p>
    <w:p>
      <w:pPr>
        <w:pStyle w:val="ListParagraph"/>
        <w:numPr>
          <w:ilvl w:val="0"/>
          <w:numId w:val="3"/>
        </w:numPr>
      </w:pPr>
      <w:r>
        <w:rPr>
          <w:b/>
          <w:bCs/>
        </w:rPr>
        <w:t xml:space="preserve">Menjaga social licence to operate. </w:t>
      </w:r>
      <w:r>
        <w:t xml:space="preserve">Perusahaan butuh "restu" komunitas lokal, karyawan, dan pemerintah untuk terus beroperasi — restu yang bisa dicabut kapan saja.</w:t>
      </w:r>
    </w:p>
    <w:p>
      <w:r>
        <w:t xml:space="preserve">Di luar hitung-hitungan bisnis, ada tiga alasan moral:</w:t>
      </w:r>
    </w:p>
    <w:p>
      <w:pPr>
        <w:pStyle w:val="ListParagraph"/>
        <w:numPr>
          <w:ilvl w:val="0"/>
          <w:numId w:val="3"/>
        </w:numPr>
      </w:pPr>
      <w:r>
        <w:rPr>
          <w:b/>
          <w:bCs/>
        </w:rPr>
        <w:t xml:space="preserve">Externalities (eksternalitas). </w:t>
      </w:r>
      <w:r>
        <w:t xml:space="preserve">Kegiatan perusahaan menimbulkan dampak yang ditanggung pihak di luar transaksi — polusi, misalnya. Secara moral, perusahaan wajib menangani dampak yang ia ciptakan.</w:t>
      </w:r>
    </w:p>
    <w:p>
      <w:pPr>
        <w:pStyle w:val="ListParagraph"/>
        <w:numPr>
          <w:ilvl w:val="0"/>
          <w:numId w:val="3"/>
        </w:numPr>
      </w:pPr>
      <w:r>
        <w:rPr>
          <w:b/>
          <w:bCs/>
        </w:rPr>
        <w:t xml:space="preserve">Power (kekuasaan). </w:t>
      </w:r>
      <w:r>
        <w:t xml:space="preserve">Beberapa korporasi berpendapatan melebihi PDB banyak negara. Kuasa sebesar itu menuntut tanggung jawab sebesar itu pula — "with great power comes great responsibility".</w:t>
      </w:r>
    </w:p>
    <w:p>
      <w:pPr>
        <w:pStyle w:val="ListParagraph"/>
        <w:numPr>
          <w:ilvl w:val="0"/>
          <w:numId w:val="3"/>
        </w:numPr>
      </w:pPr>
      <w:r>
        <w:rPr>
          <w:b/>
          <w:bCs/>
        </w:rPr>
        <w:t xml:space="preserve">Dependency (saling ketergantungan). </w:t>
      </w:r>
      <w:r>
        <w:t xml:space="preserve">Perusahaan hidup dari masyarakat: konsumen, pemasok, komunitas. Wajar bila kepentingan mereka ikut diperhitungkan.</w:t>
      </w:r>
    </w:p>
    <w:p>
      <w:pPr>
        <w:pStyle w:val="Heading2"/>
      </w:pPr>
      <w:r>
        <w:t xml:space="preserve">2.2 Piramida Carroll: empat lapis tanggung jawab</w:t>
      </w:r>
    </w:p>
    <w:p>
      <w:r>
        <w:t xml:space="preserve">Model paling terkenal untuk menjawab "apa isi tanggung jawab sosial" adalah piramida Archie Carroll (1991). Bayangkan piramida empat lapis, dibaca dari bawah: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260"/>
        <w:gridCol w:w="2400"/>
      </w:tblGrid>
      <w:tr>
        <w:trPr>
          <w:tblHeader/>
        </w:trPr>
        <w:tc>
          <w:tcPr>
            <w:tcW w:type="dxa" w:w="1700"/>
            <w:shd w:fill="2E3192" w:val="clear"/>
            <w:tcMar>
              <w:top w:type="dxa" w:w="90"/>
              <w:left w:type="dxa" w:w="120"/>
              <w:bottom w:type="dxa" w:w="90"/>
              <w:right w:type="dxa" w:w="120"/>
            </w:tcMar>
            <w:vAlign w:val="center"/>
          </w:tcPr>
          <w:p>
            <w:pPr>
              <w:spacing w:after="0"/>
            </w:pPr>
            <w:r>
              <w:rPr>
                <w:b/>
                <w:bCs/>
                <w:color w:val="FFFFFF"/>
                <w:sz w:val="20"/>
                <w:szCs w:val="20"/>
              </w:rPr>
              <w:t xml:space="preserve">Lapis</w:t>
            </w:r>
          </w:p>
        </w:tc>
        <w:tc>
          <w:tcPr>
            <w:tcW w:type="dxa" w:w="5260"/>
            <w:shd w:fill="2E3192" w:val="clear"/>
            <w:tcMar>
              <w:top w:type="dxa" w:w="90"/>
              <w:left w:type="dxa" w:w="120"/>
              <w:bottom w:type="dxa" w:w="90"/>
              <w:right w:type="dxa" w:w="120"/>
            </w:tcMar>
            <w:vAlign w:val="center"/>
          </w:tcPr>
          <w:p>
            <w:pPr>
              <w:spacing w:after="0"/>
            </w:pPr>
            <w:r>
              <w:rPr>
                <w:b/>
                <w:bCs/>
                <w:color w:val="FFFFFF"/>
                <w:sz w:val="20"/>
                <w:szCs w:val="20"/>
              </w:rPr>
              <w:t xml:space="preserve">Isinya</w:t>
            </w:r>
          </w:p>
        </w:tc>
        <w:tc>
          <w:tcPr>
            <w:tcW w:type="dxa" w:w="2400"/>
            <w:shd w:fill="2E3192" w:val="clear"/>
            <w:tcMar>
              <w:top w:type="dxa" w:w="90"/>
              <w:left w:type="dxa" w:w="120"/>
              <w:bottom w:type="dxa" w:w="90"/>
              <w:right w:type="dxa" w:w="120"/>
            </w:tcMar>
            <w:vAlign w:val="center"/>
          </w:tcPr>
          <w:p>
            <w:pPr>
              <w:spacing w:after="0"/>
            </w:pPr>
            <w:r>
              <w:rPr>
                <w:b/>
                <w:bCs/>
                <w:color w:val="FFFFFF"/>
                <w:sz w:val="20"/>
                <w:szCs w:val="20"/>
              </w:rPr>
              <w:t xml:space="preserve">Sikap masyarakat</w:t>
            </w:r>
          </w:p>
        </w:tc>
      </w:tr>
      <w:tr>
        <w:tc>
          <w:tcPr>
            <w:tcW w:type="dxa" w:w="1700"/>
            <w:tcMar>
              <w:top w:type="dxa" w:w="90"/>
              <w:left w:type="dxa" w:w="120"/>
              <w:bottom w:type="dxa" w:w="90"/>
              <w:right w:type="dxa" w:w="120"/>
            </w:tcMar>
            <w:vAlign w:val="center"/>
          </w:tcPr>
          <w:p>
            <w:pPr>
              <w:spacing w:after="0"/>
            </w:pPr>
            <w:r>
              <w:rPr>
                <w:sz w:val="20"/>
                <w:szCs w:val="20"/>
              </w:rPr>
              <w:t xml:space="preserve">1. Ekonomi</w:t>
            </w:r>
          </w:p>
        </w:tc>
        <w:tc>
          <w:tcPr>
            <w:tcW w:type="dxa" w:w="5260"/>
            <w:tcMar>
              <w:top w:type="dxa" w:w="90"/>
              <w:left w:type="dxa" w:w="120"/>
              <w:bottom w:type="dxa" w:w="90"/>
              <w:right w:type="dxa" w:w="120"/>
            </w:tcMar>
            <w:vAlign w:val="center"/>
          </w:tcPr>
          <w:p>
            <w:pPr>
              <w:spacing w:after="0"/>
            </w:pPr>
            <w:r>
              <w:rPr>
                <w:sz w:val="20"/>
                <w:szCs w:val="20"/>
              </w:rPr>
              <w:t xml:space="preserve">Jadilah unit ekonomi yang sehat: untung, memberi pekerjaan layak, produk memuaskan. Ini fondasi semua lapis lain.</w:t>
            </w:r>
          </w:p>
        </w:tc>
        <w:tc>
          <w:tcPr>
            <w:tcW w:type="dxa" w:w="2400"/>
            <w:tcMar>
              <w:top w:type="dxa" w:w="90"/>
              <w:left w:type="dxa" w:w="120"/>
              <w:bottom w:type="dxa" w:w="90"/>
              <w:right w:type="dxa" w:w="120"/>
            </w:tcMar>
            <w:vAlign w:val="center"/>
          </w:tcPr>
          <w:p>
            <w:pPr>
              <w:spacing w:after="0"/>
            </w:pPr>
            <w:r>
              <w:rPr>
                <w:sz w:val="20"/>
                <w:szCs w:val="20"/>
              </w:rPr>
              <w:t xml:space="preserve">Diwajibkan (required)</w:t>
            </w:r>
          </w:p>
        </w:tc>
      </w:tr>
      <w:tr>
        <w:tc>
          <w:tcPr>
            <w:tcW w:type="dxa" w:w="1700"/>
            <w:tcMar>
              <w:top w:type="dxa" w:w="90"/>
              <w:left w:type="dxa" w:w="120"/>
              <w:bottom w:type="dxa" w:w="90"/>
              <w:right w:type="dxa" w:w="120"/>
            </w:tcMar>
            <w:vAlign w:val="center"/>
          </w:tcPr>
          <w:p>
            <w:pPr>
              <w:spacing w:after="0"/>
            </w:pPr>
            <w:r>
              <w:rPr>
                <w:sz w:val="20"/>
                <w:szCs w:val="20"/>
              </w:rPr>
              <w:t xml:space="preserve">2. Hukum</w:t>
            </w:r>
          </w:p>
        </w:tc>
        <w:tc>
          <w:tcPr>
            <w:tcW w:type="dxa" w:w="5260"/>
            <w:tcMar>
              <w:top w:type="dxa" w:w="90"/>
              <w:left w:type="dxa" w:w="120"/>
              <w:bottom w:type="dxa" w:w="90"/>
              <w:right w:type="dxa" w:w="120"/>
            </w:tcMar>
            <w:vAlign w:val="center"/>
          </w:tcPr>
          <w:p>
            <w:pPr>
              <w:spacing w:after="0"/>
            </w:pPr>
            <w:r>
              <w:rPr>
                <w:sz w:val="20"/>
                <w:szCs w:val="20"/>
              </w:rPr>
              <w:t xml:space="preserve">Patuhi hukum — "main sesuai aturan". Hukum adalah nilai moral masyarakat yang dibakukan menjadi aturan.</w:t>
            </w:r>
          </w:p>
        </w:tc>
        <w:tc>
          <w:tcPr>
            <w:tcW w:type="dxa" w:w="2400"/>
            <w:tcMar>
              <w:top w:type="dxa" w:w="90"/>
              <w:left w:type="dxa" w:w="120"/>
              <w:bottom w:type="dxa" w:w="90"/>
              <w:right w:type="dxa" w:w="120"/>
            </w:tcMar>
            <w:vAlign w:val="center"/>
          </w:tcPr>
          <w:p>
            <w:pPr>
              <w:spacing w:after="0"/>
            </w:pPr>
            <w:r>
              <w:rPr>
                <w:sz w:val="20"/>
                <w:szCs w:val="20"/>
              </w:rPr>
              <w:t xml:space="preserve">Diwajibkan (required)</w:t>
            </w:r>
          </w:p>
        </w:tc>
      </w:tr>
      <w:tr>
        <w:tc>
          <w:tcPr>
            <w:tcW w:type="dxa" w:w="1700"/>
            <w:tcMar>
              <w:top w:type="dxa" w:w="90"/>
              <w:left w:type="dxa" w:w="120"/>
              <w:bottom w:type="dxa" w:w="90"/>
              <w:right w:type="dxa" w:w="120"/>
            </w:tcMar>
            <w:vAlign w:val="center"/>
          </w:tcPr>
          <w:p>
            <w:pPr>
              <w:spacing w:after="0"/>
            </w:pPr>
            <w:r>
              <w:rPr>
                <w:sz w:val="20"/>
                <w:szCs w:val="20"/>
              </w:rPr>
              <w:t xml:space="preserve">3. Etis</w:t>
            </w:r>
          </w:p>
        </w:tc>
        <w:tc>
          <w:tcPr>
            <w:tcW w:type="dxa" w:w="5260"/>
            <w:tcMar>
              <w:top w:type="dxa" w:w="90"/>
              <w:left w:type="dxa" w:w="120"/>
              <w:bottom w:type="dxa" w:w="90"/>
              <w:right w:type="dxa" w:w="120"/>
            </w:tcMar>
            <w:vAlign w:val="center"/>
          </w:tcPr>
          <w:p>
            <w:pPr>
              <w:spacing w:after="0"/>
            </w:pPr>
            <w:r>
              <w:rPr>
                <w:sz w:val="20"/>
                <w:szCs w:val="20"/>
              </w:rPr>
              <w:t xml:space="preserve">Lakukan yang benar dan adil meski hukum tidak mewajibkan. Contoh: penghindaran pajak yang legal tetap membuat publik marah.</w:t>
            </w:r>
          </w:p>
        </w:tc>
        <w:tc>
          <w:tcPr>
            <w:tcW w:type="dxa" w:w="2400"/>
            <w:tcMar>
              <w:top w:type="dxa" w:w="90"/>
              <w:left w:type="dxa" w:w="120"/>
              <w:bottom w:type="dxa" w:w="90"/>
              <w:right w:type="dxa" w:w="120"/>
            </w:tcMar>
            <w:vAlign w:val="center"/>
          </w:tcPr>
          <w:p>
            <w:pPr>
              <w:spacing w:after="0"/>
            </w:pPr>
            <w:r>
              <w:rPr>
                <w:sz w:val="20"/>
                <w:szCs w:val="20"/>
              </w:rPr>
              <w:t xml:space="preserve">Diharapkan (expected)</w:t>
            </w:r>
          </w:p>
        </w:tc>
      </w:tr>
      <w:tr>
        <w:tc>
          <w:tcPr>
            <w:tcW w:type="dxa" w:w="1700"/>
            <w:tcMar>
              <w:top w:type="dxa" w:w="90"/>
              <w:left w:type="dxa" w:w="120"/>
              <w:bottom w:type="dxa" w:w="90"/>
              <w:right w:type="dxa" w:w="120"/>
            </w:tcMar>
            <w:vAlign w:val="center"/>
          </w:tcPr>
          <w:p>
            <w:pPr>
              <w:spacing w:after="0"/>
            </w:pPr>
            <w:r>
              <w:rPr>
                <w:sz w:val="20"/>
                <w:szCs w:val="20"/>
              </w:rPr>
              <w:t xml:space="preserve">4. Filantropis</w:t>
            </w:r>
          </w:p>
        </w:tc>
        <w:tc>
          <w:tcPr>
            <w:tcW w:type="dxa" w:w="5260"/>
            <w:tcMar>
              <w:top w:type="dxa" w:w="90"/>
              <w:left w:type="dxa" w:w="120"/>
              <w:bottom w:type="dxa" w:w="90"/>
              <w:right w:type="dxa" w:w="120"/>
            </w:tcMar>
            <w:vAlign w:val="center"/>
          </w:tcPr>
          <w:p>
            <w:pPr>
              <w:spacing w:after="0"/>
            </w:pPr>
            <w:r>
              <w:rPr>
                <w:sz w:val="20"/>
                <w:szCs w:val="20"/>
              </w:rPr>
              <w:t xml:space="preserve">Kegiatan sukarela memperbaiki kualitas hidup: donasi, beasiswa, sponsor seni dan olahraga.</w:t>
            </w:r>
          </w:p>
        </w:tc>
        <w:tc>
          <w:tcPr>
            <w:tcW w:type="dxa" w:w="2400"/>
            <w:tcMar>
              <w:top w:type="dxa" w:w="90"/>
              <w:left w:type="dxa" w:w="120"/>
              <w:bottom w:type="dxa" w:w="90"/>
              <w:right w:type="dxa" w:w="120"/>
            </w:tcMar>
            <w:vAlign w:val="center"/>
          </w:tcPr>
          <w:p>
            <w:pPr>
              <w:spacing w:after="0"/>
            </w:pPr>
            <w:r>
              <w:rPr>
                <w:sz w:val="20"/>
                <w:szCs w:val="20"/>
              </w:rPr>
              <w:t xml:space="preserve">Diinginkan (desired)</w:t>
            </w:r>
          </w:p>
        </w:tc>
      </w:tr>
    </w:tbl>
    <w:p>
      <w:r>
        <w:rPr>
          <w:b/>
          <w:bCs/>
        </w:rPr>
        <w:t xml:space="preserve">Kelemahan model ini: </w:t>
      </w:r>
      <w:r>
        <w:t xml:space="preserve">Carroll tidak menjelaskan apa yang harus dilakukan ketika dua lapis saling bertentangan — misalnya ketika kegiatan yang menguntungkan (lapis ekonomi) dipersoalkan secara etis (lapis etis). Ingat kelemahan ini; ia akan muncul lagi persis di kasus PT Djarum.</w:t>
      </w:r>
    </w:p>
    <w:p>
      <w:pPr>
        <w:pStyle w:val="Heading2"/>
      </w:pPr>
      <w:r>
        <w:t xml:space="preserve">2.3 CSR tidak berbunyi sama di semua negara</w:t>
      </w:r>
    </w:p>
    <w:p>
      <w:r>
        <w:t xml:space="preserve">CSR ala Amerika Serikat bersifat </w:t>
      </w:r>
      <w:r>
        <w:rPr>
          <w:b/>
          <w:bCs/>
        </w:rPr>
        <w:t xml:space="preserve">eksplisit</w:t>
      </w:r>
      <w:r>
        <w:t xml:space="preserve">: kegiatan yang berdiri sendiri, diberi nama, dan sukarela. Di Eropa, Asia, dan Afrika CSR lebih bersifat </w:t>
      </w:r>
      <w:r>
        <w:rPr>
          <w:b/>
          <w:bCs/>
        </w:rPr>
        <w:t xml:space="preserve">implisit</w:t>
      </w:r>
      <w:r>
        <w:t xml:space="preserve">: tanggung jawab sosial sudah tertanam di dalam hukum, regulasi, dan tradisi masyarakat (Matten &amp; Moon, 2008). Akibatnya, tiap lapis piramida Carroll berbeda nuansa antarnegara:</w:t>
      </w:r>
    </w:p>
    <w:p>
      <w:pPr>
        <w:pStyle w:val="ListParagraph"/>
        <w:numPr>
          <w:ilvl w:val="0"/>
          <w:numId w:val="3"/>
        </w:numPr>
      </w:pPr>
      <w:r>
        <w:rPr>
          <w:b/>
          <w:bCs/>
        </w:rPr>
        <w:t xml:space="preserve">Filantropis — </w:t>
      </w:r>
      <w:r>
        <w:t xml:space="preserve">di AS berupa donasi seni dan pendidikan; di Eropa disalurkan lewat pemerintah; di negara berkembang perusahaan diharapkan langsung "berbagi" dengan komunitas lokal.</w:t>
      </w:r>
    </w:p>
    <w:p>
      <w:pPr>
        <w:pStyle w:val="ListParagraph"/>
        <w:numPr>
          <w:ilvl w:val="0"/>
          <w:numId w:val="3"/>
        </w:numPr>
      </w:pPr>
      <w:r>
        <w:rPr>
          <w:b/>
          <w:bCs/>
        </w:rPr>
        <w:t xml:space="preserve">Etis — </w:t>
      </w:r>
      <w:r>
        <w:t xml:space="preserve">kepercayaan pada bisnis justru tinggi di negara berkembang, tetapi urusan ekonomi dan filantropi sering didahulukan daripada etika.</w:t>
      </w:r>
    </w:p>
    <w:p>
      <w:pPr>
        <w:pStyle w:val="ListParagraph"/>
        <w:numPr>
          <w:ilvl w:val="0"/>
          <w:numId w:val="3"/>
        </w:numPr>
      </w:pPr>
      <w:r>
        <w:rPr>
          <w:b/>
          <w:bCs/>
        </w:rPr>
        <w:t xml:space="preserve">Hukum — </w:t>
      </w:r>
      <w:r>
        <w:t xml:space="preserve">di negara berkembang kepatuhan hukum bukan ukuran yang andal, karena penegakannya lemah.</w:t>
      </w:r>
    </w:p>
    <w:p>
      <w:pPr>
        <w:pStyle w:val="ListParagraph"/>
        <w:numPr>
          <w:ilvl w:val="0"/>
          <w:numId w:val="3"/>
        </w:numPr>
      </w:pPr>
      <w:r>
        <w:rPr>
          <w:b/>
          <w:bCs/>
        </w:rPr>
        <w:t xml:space="preserve">Ekonomi — </w:t>
      </w:r>
      <w:r>
        <w:t xml:space="preserve">AS berfokus pada laba dan pemegang saham; Eropa dan Asia menekankan tanggung jawab kepada karyawan dan komunitas.</w:t>
      </w:r>
    </w:p>
    <w:p>
      <w:r>
        <w:t xml:space="preserve">Catatan ini penting untuk membaca kasus Indonesia: teori yang lahir di Amerika harus "diterjemahkan" dulu ke konteks lokal.</w:t>
      </w:r>
    </w:p>
    <w:p>
      <w:pPr>
        <w:pStyle w:val="Heading2"/>
      </w:pPr>
      <w:r>
        <w:t xml:space="preserve">2.4 Dua strategi CSR dan cara mengukur hasilnya</w:t>
      </w:r>
    </w:p>
    <w:p>
      <w:r>
        <w:t xml:space="preserve">Cara perusahaan menempatkan CSR dalam strateginya terbagi dua kutub: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tblHeader/>
        </w:trPr>
        <w:tc>
          <w:tcPr>
            <w:tcW w:type="dxa" w:w="1500"/>
            <w:shd w:fill="6B2233" w:val="clear"/>
            <w:tcMar>
              <w:top w:type="dxa" w:w="90"/>
              <w:left w:type="dxa" w:w="120"/>
              <w:bottom w:type="dxa" w:w="90"/>
              <w:right w:type="dxa" w:w="120"/>
            </w:tcMar>
            <w:vAlign w:val="center"/>
          </w:tcPr>
          <w:p>
            <w:pPr>
              <w:spacing w:after="0"/>
            </w:pPr>
            <w:r>
              <w:rPr>
                <w:b/>
                <w:bCs/>
                <w:color w:val="FFFFFF"/>
                <w:sz w:val="20"/>
                <w:szCs w:val="20"/>
              </w:rPr>
              <w:t xml:space="preserve"/>
            </w:r>
          </w:p>
        </w:tc>
        <w:tc>
          <w:tcPr>
            <w:tcW w:type="dxa" w:w="3930"/>
            <w:shd w:fill="6B2233" w:val="clear"/>
            <w:tcMar>
              <w:top w:type="dxa" w:w="90"/>
              <w:left w:type="dxa" w:w="120"/>
              <w:bottom w:type="dxa" w:w="90"/>
              <w:right w:type="dxa" w:w="120"/>
            </w:tcMar>
            <w:vAlign w:val="center"/>
          </w:tcPr>
          <w:p>
            <w:pPr>
              <w:spacing w:after="0"/>
            </w:pPr>
            <w:r>
              <w:rPr>
                <w:b/>
                <w:bCs/>
                <w:color w:val="FFFFFF"/>
                <w:sz w:val="20"/>
                <w:szCs w:val="20"/>
              </w:rPr>
              <w:t xml:space="preserve">Traditional CSR — "bolt-on"</w:t>
            </w:r>
          </w:p>
        </w:tc>
        <w:tc>
          <w:tcPr>
            <w:tcW w:type="dxa" w:w="3930"/>
            <w:shd w:fill="6B2233" w:val="clear"/>
            <w:tcMar>
              <w:top w:type="dxa" w:w="90"/>
              <w:left w:type="dxa" w:w="120"/>
              <w:bottom w:type="dxa" w:w="90"/>
              <w:right w:type="dxa" w:w="120"/>
            </w:tcMar>
            <w:vAlign w:val="center"/>
          </w:tcPr>
          <w:p>
            <w:pPr>
              <w:spacing w:after="0"/>
            </w:pPr>
            <w:r>
              <w:rPr>
                <w:b/>
                <w:bCs/>
                <w:color w:val="FFFFFF"/>
                <w:sz w:val="20"/>
                <w:szCs w:val="20"/>
              </w:rPr>
              <w:t xml:space="preserve">Contemporary CSR — "built-in"</w:t>
            </w:r>
          </w:p>
        </w:tc>
      </w:tr>
      <w:tr>
        <w:tc>
          <w:tcPr>
            <w:tcW w:type="dxa" w:w="1500"/>
            <w:tcMar>
              <w:top w:type="dxa" w:w="90"/>
              <w:left w:type="dxa" w:w="120"/>
              <w:bottom w:type="dxa" w:w="90"/>
              <w:right w:type="dxa" w:w="120"/>
            </w:tcMar>
            <w:vAlign w:val="center"/>
          </w:tcPr>
          <w:p>
            <w:pPr>
              <w:spacing w:after="0"/>
            </w:pPr>
            <w:r>
              <w:rPr>
                <w:sz w:val="20"/>
                <w:szCs w:val="20"/>
              </w:rPr>
              <w:t xml:space="preserve">Logika dasar</w:t>
            </w:r>
          </w:p>
        </w:tc>
        <w:tc>
          <w:tcPr>
            <w:tcW w:type="dxa" w:w="3930"/>
            <w:tcMar>
              <w:top w:type="dxa" w:w="90"/>
              <w:left w:type="dxa" w:w="120"/>
              <w:bottom w:type="dxa" w:w="90"/>
              <w:right w:type="dxa" w:w="120"/>
            </w:tcMar>
            <w:vAlign w:val="center"/>
          </w:tcPr>
          <w:p>
            <w:pPr>
              <w:spacing w:after="0"/>
            </w:pPr>
            <w:r>
              <w:rPr>
                <w:sz w:val="20"/>
                <w:szCs w:val="20"/>
              </w:rPr>
              <w:t xml:space="preserve">Cari laba dulu, lalu sebagian hasilnya dibagikan untuk kegiatan sosial. CSR "ditempelkan" di luar bisnis inti.</w:t>
            </w:r>
          </w:p>
        </w:tc>
        <w:tc>
          <w:tcPr>
            <w:tcW w:type="dxa" w:w="3930"/>
            <w:tcMar>
              <w:top w:type="dxa" w:w="90"/>
              <w:left w:type="dxa" w:w="120"/>
              <w:bottom w:type="dxa" w:w="90"/>
              <w:right w:type="dxa" w:w="120"/>
            </w:tcMar>
            <w:vAlign w:val="center"/>
          </w:tcPr>
          <w:p>
            <w:pPr>
              <w:spacing w:after="0"/>
            </w:pPr>
            <w:r>
              <w:rPr>
                <w:sz w:val="20"/>
                <w:szCs w:val="20"/>
              </w:rPr>
              <w:t xml:space="preserve">Harapan masyarakat dibangun ke dalam bisnis inti, sehingga CSR ikut menciptakan nilai.</w:t>
            </w:r>
          </w:p>
        </w:tc>
      </w:tr>
      <w:tr>
        <w:tc>
          <w:tcPr>
            <w:tcW w:type="dxa" w:w="1500"/>
            <w:tcMar>
              <w:top w:type="dxa" w:w="90"/>
              <w:left w:type="dxa" w:w="120"/>
              <w:bottom w:type="dxa" w:w="90"/>
              <w:right w:type="dxa" w:w="120"/>
            </w:tcMar>
            <w:vAlign w:val="center"/>
          </w:tcPr>
          <w:p>
            <w:pPr>
              <w:spacing w:after="0"/>
            </w:pPr>
            <w:r>
              <w:rPr>
                <w:sz w:val="20"/>
                <w:szCs w:val="20"/>
              </w:rPr>
              <w:t xml:space="preserve">Pendorong</w:t>
            </w:r>
          </w:p>
        </w:tc>
        <w:tc>
          <w:tcPr>
            <w:tcW w:type="dxa" w:w="3930"/>
            <w:tcMar>
              <w:top w:type="dxa" w:w="90"/>
              <w:left w:type="dxa" w:w="120"/>
              <w:bottom w:type="dxa" w:w="90"/>
              <w:right w:type="dxa" w:w="120"/>
            </w:tcMar>
            <w:vAlign w:val="center"/>
          </w:tcPr>
          <w:p>
            <w:pPr>
              <w:spacing w:after="0"/>
            </w:pPr>
            <w:r>
              <w:rPr>
                <w:sz w:val="20"/>
                <w:szCs w:val="20"/>
              </w:rPr>
              <w:t xml:space="preserve">Citra, merek, penerimaan publik.</w:t>
            </w:r>
          </w:p>
        </w:tc>
        <w:tc>
          <w:tcPr>
            <w:tcW w:type="dxa" w:w="3930"/>
            <w:tcMar>
              <w:top w:type="dxa" w:w="90"/>
              <w:left w:type="dxa" w:w="120"/>
              <w:bottom w:type="dxa" w:w="90"/>
              <w:right w:type="dxa" w:w="120"/>
            </w:tcMar>
            <w:vAlign w:val="center"/>
          </w:tcPr>
          <w:p>
            <w:pPr>
              <w:spacing w:after="0"/>
            </w:pPr>
            <w:r>
              <w:rPr>
                <w:sz w:val="20"/>
                <w:szCs w:val="20"/>
              </w:rPr>
              <w:t xml:space="preserve">Kinerja, pasar, produk.</w:t>
            </w:r>
          </w:p>
        </w:tc>
      </w:tr>
      <w:tr>
        <w:tc>
          <w:tcPr>
            <w:tcW w:type="dxa" w:w="1500"/>
            <w:tcMar>
              <w:top w:type="dxa" w:w="90"/>
              <w:left w:type="dxa" w:w="120"/>
              <w:bottom w:type="dxa" w:w="90"/>
              <w:right w:type="dxa" w:w="120"/>
            </w:tcMar>
            <w:vAlign w:val="center"/>
          </w:tcPr>
          <w:p>
            <w:pPr>
              <w:spacing w:after="0"/>
            </w:pPr>
            <w:r>
              <w:rPr>
                <w:sz w:val="20"/>
                <w:szCs w:val="20"/>
              </w:rPr>
              <w:t xml:space="preserve">Sifat</w:t>
            </w:r>
          </w:p>
        </w:tc>
        <w:tc>
          <w:tcPr>
            <w:tcW w:type="dxa" w:w="3930"/>
            <w:tcMar>
              <w:top w:type="dxa" w:w="90"/>
              <w:left w:type="dxa" w:w="120"/>
              <w:bottom w:type="dxa" w:w="90"/>
              <w:right w:type="dxa" w:w="120"/>
            </w:tcMar>
            <w:vAlign w:val="center"/>
          </w:tcPr>
          <w:p>
            <w:pPr>
              <w:spacing w:after="0"/>
            </w:pPr>
            <w:r>
              <w:rPr>
                <w:sz w:val="20"/>
                <w:szCs w:val="20"/>
              </w:rPr>
              <w:t xml:space="preserve">Reaktif dan defensif.</w:t>
            </w:r>
          </w:p>
        </w:tc>
        <w:tc>
          <w:tcPr>
            <w:tcW w:type="dxa" w:w="3930"/>
            <w:tcMar>
              <w:top w:type="dxa" w:w="90"/>
              <w:left w:type="dxa" w:w="120"/>
              <w:bottom w:type="dxa" w:w="90"/>
              <w:right w:type="dxa" w:w="120"/>
            </w:tcMar>
            <w:vAlign w:val="center"/>
          </w:tcPr>
          <w:p>
            <w:pPr>
              <w:spacing w:after="0"/>
            </w:pPr>
            <w:r>
              <w:rPr>
                <w:sz w:val="20"/>
                <w:szCs w:val="20"/>
              </w:rPr>
              <w:t xml:space="preserve">Proaktif dan akomodatif.</w:t>
            </w:r>
          </w:p>
        </w:tc>
      </w:tr>
    </w:tbl>
    <w:p>
      <w:r>
        <w:t xml:space="preserve">Hasil CSR diukur sebagai </w:t>
      </w:r>
      <w:r>
        <w:rPr>
          <w:i/>
          <w:iCs/>
        </w:rPr>
        <w:t xml:space="preserve">Corporate Social Performance</w:t>
      </w:r>
      <w:r>
        <w:t xml:space="preserve"> (Wood, 1991) dengan alur: prinsip → proses → hasil. Hasilnya sendiri ada tiga bentuk: </w:t>
      </w:r>
      <w:r>
        <w:rPr>
          <w:b/>
          <w:bCs/>
        </w:rPr>
        <w:t xml:space="preserve">kebijakan sosial</w:t>
      </w:r>
      <w:r>
        <w:t xml:space="preserve"> (nilai dan target yang dinyatakan perusahaan, misalnya komitmen IKEA memakai 100% energi terbarukan), </w:t>
      </w:r>
      <w:r>
        <w:rPr>
          <w:b/>
          <w:bCs/>
        </w:rPr>
        <w:t xml:space="preserve">program sosial</w:t>
      </w:r>
      <w:r>
        <w:t xml:space="preserve"> (kegiatan nyata untuk mewujudkannya, misalnya standar ISO 14000 dan ISO 26000), dan </w:t>
      </w:r>
      <w:r>
        <w:rPr>
          <w:b/>
          <w:bCs/>
        </w:rPr>
        <w:t xml:space="preserve">dampak sosial</w:t>
      </w:r>
      <w:r>
        <w:t xml:space="preserve"> (perubahan nyata di masyarakat — bagian paling sulit diukur, tetapi paling menentukan apakah CSR benar-benar bermakna).</w:t>
      </w:r>
    </w:p>
    <w:p>
      <w:pPr>
        <w:pStyle w:val="Heading2"/>
      </w:pPr>
      <w:r>
        <w:t xml:space="preserve">2.5 Kritik terhadap CSR</w:t>
      </w:r>
    </w:p>
    <w:p>
      <w:r>
        <w:t xml:space="preserve">CSR juga punya sisi gelap yang banyak dikritik. Tiga suara yang paling sering dikutip — dan akan kita pakai untuk membedah kasus Djarum:</w:t>
      </w:r>
    </w:p>
    <w:p>
      <w:pPr>
        <w:pStyle w:val="ListParagraph"/>
        <w:numPr>
          <w:ilvl w:val="0"/>
          <w:numId w:val="3"/>
        </w:numPr>
      </w:pPr>
      <w:r>
        <w:rPr>
          <w:b/>
          <w:bCs/>
        </w:rPr>
        <w:t xml:space="preserve">Friedman (1970): </w:t>
      </w:r>
      <w:r>
        <w:t xml:space="preserve">bila motif utamanya kepentingan sendiri (misalnya promosi), itu bukan CSR, melainkan cari laba "berkedok tanggung jawab sosial".</w:t>
      </w:r>
    </w:p>
    <w:p>
      <w:pPr>
        <w:pStyle w:val="ListParagraph"/>
        <w:numPr>
          <w:ilvl w:val="0"/>
          <w:numId w:val="3"/>
        </w:numPr>
      </w:pPr>
      <w:r>
        <w:rPr>
          <w:b/>
          <w:bCs/>
        </w:rPr>
        <w:t xml:space="preserve">Banerjee (2007): </w:t>
      </w:r>
      <w:r>
        <w:t xml:space="preserve">CSR bisa berfungsi sebagai alat legitimasi — membuat kegiatan perusahaan tampak sah dan memperkuat kekuasaannya, bukan mengoreksinya.</w:t>
      </w:r>
    </w:p>
    <w:p>
      <w:pPr>
        <w:pStyle w:val="ListParagraph"/>
        <w:numPr>
          <w:ilvl w:val="0"/>
          <w:numId w:val="3"/>
        </w:numPr>
      </w:pPr>
      <w:r>
        <w:rPr>
          <w:b/>
          <w:bCs/>
        </w:rPr>
        <w:t xml:space="preserve">Fleming &amp; Jones (2012): </w:t>
      </w:r>
      <w:r>
        <w:t xml:space="preserve">CSR menopang model bisnis yang ada, bukan menantangnya; tidak ada perubahan nyata dalam peran bisnis di masyarakat.</w:t>
      </w:r>
    </w:p>
    <w:p>
      <w:pPr>
        <w:pStyle w:val="Heading1"/>
      </w:pPr>
      <w:r>
        <w:t xml:space="preserve">Bagian 3 — Stakeholder Theory of the Firm</w:t>
      </w:r>
    </w:p>
    <w:p>
      <w:r>
        <w:t xml:space="preserve">CSR berangkat dari perusahaan dan tanggung jawabnya. Teori stakeholder membalik arah pandang: ia berangkat dari kelompok-kelompok kepada siapa perusahaan bertanggung jawab.</w:t>
      </w:r>
    </w:p>
    <w:p>
      <w:pPr>
        <w:pStyle w:val="Heading2"/>
      </w:pPr>
      <w:r>
        <w:t xml:space="preserve">3.1 Siapa itu stakeholder?</w:t>
      </w:r>
    </w:p>
    <w:tbl>
      <w:tblPr>
        <w:tblW w:type="dxa" w:w="9360"/>
        <w:tblBorders>
          <w:top w:val="none"/>
          <w:left w:val="none"/>
          <w:bottom w:val="none"/>
          <w:right w:val="none"/>
          <w:insideH w:val="none"/>
          <w:insideV w:val="none"/>
        </w:tblBorders>
      </w:tblPr>
      <w:tblGrid>
        <w:gridCol w:w="9360"/>
      </w:tblGrid>
      <w:tr>
        <w:tc>
          <w:tcPr>
            <w:tcW w:type="dxa" w:w="9360"/>
            <w:shd w:fill="F2F2F5" w:val="clear"/>
            <w:tcMar>
              <w:top w:type="dxa" w:w="140"/>
              <w:left w:type="dxa" w:w="200"/>
              <w:bottom w:type="dxa" w:w="140"/>
              <w:right w:type="dxa" w:w="200"/>
            </w:tcMar>
          </w:tcPr>
          <w:p>
            <w:pPr>
              <w:spacing w:after="0"/>
            </w:pPr>
            <w:r>
              <w:rPr>
                <w:b/>
                <w:bCs/>
              </w:rPr>
              <w:t xml:space="preserve">Definisi (Freeman, 1984): </w:t>
            </w:r>
            <w:r>
              <w:rPr>
                <w:i/>
                <w:iCs/>
              </w:rPr>
              <w:t xml:space="preserve">stakeholder adalah siapa pun yang dirugikan atau diuntungkan oleh tindakan perusahaan, atau yang haknya wajib dihormati perusahaan.</w:t>
            </w:r>
          </w:p>
        </w:tc>
      </w:tr>
    </w:tbl>
    <w:p>
      <w:r>
        <w:t xml:space="preserve">Dua prinsip membantu menentukan siapa yang termasuk stakeholder (Evan &amp; Freeman, 1993):</w:t>
      </w:r>
    </w:p>
    <w:p>
      <w:pPr>
        <w:pStyle w:val="ListParagraph"/>
        <w:numPr>
          <w:ilvl w:val="0"/>
          <w:numId w:val="4"/>
        </w:numPr>
      </w:pPr>
      <w:r>
        <w:rPr>
          <w:b/>
          <w:bCs/>
        </w:rPr>
        <w:t xml:space="preserve">Principle of corporate rights: </w:t>
      </w:r>
      <w:r>
        <w:t xml:space="preserve">perusahaan tidak boleh melanggar hak pihak lain.</w:t>
      </w:r>
    </w:p>
    <w:p>
      <w:pPr>
        <w:pStyle w:val="ListParagraph"/>
        <w:numPr>
          <w:ilvl w:val="0"/>
          <w:numId w:val="4"/>
        </w:numPr>
      </w:pPr>
      <w:r>
        <w:rPr>
          <w:b/>
          <w:bCs/>
        </w:rPr>
        <w:t xml:space="preserve">Principle of corporate effect: </w:t>
      </w:r>
      <w:r>
        <w:t xml:space="preserve">perusahaan bertanggung jawab atas dampak tindakannya terhadap pihak lain.</w:t>
      </w:r>
    </w:p>
    <w:p>
      <w:r>
        <w:t xml:space="preserve">Perhatikan: kedua prinsip itu tidak menyebut kontrak. Artinya, seseorang bisa menjadi stakeholder meski tidak punya hubungan bisnis apa pun dengan perusahaan — cukup karena ia terkena dampaknya. Poin ini akan menjadi kunci di kasus Djarum.</w:t>
      </w:r>
    </w:p>
    <w:p>
      <w:r>
        <w:t xml:space="preserve">Cara pandang terhadap perusahaan pun berkembang dalam tiga model:</w:t>
      </w:r>
    </w:p>
    <w:p>
      <w:pPr>
        <w:pStyle w:val="ListParagraph"/>
        <w:numPr>
          <w:ilvl w:val="0"/>
          <w:numId w:val="3"/>
        </w:numPr>
      </w:pPr>
      <w:r>
        <w:rPr>
          <w:b/>
          <w:bCs/>
        </w:rPr>
        <w:t xml:space="preserve">Model tradisional: </w:t>
      </w:r>
      <w:r>
        <w:t xml:space="preserve">perusahaan hanya berurusan dengan empat kelompok inti (pemasok, karyawan, pemegang saham, konsumen), dan pemegang saham adalah prioritas utama karena dianggap "pemilik".</w:t>
      </w:r>
    </w:p>
    <w:p>
      <w:pPr>
        <w:pStyle w:val="ListParagraph"/>
        <w:numPr>
          <w:ilvl w:val="0"/>
          <w:numId w:val="3"/>
        </w:numPr>
      </w:pPr>
      <w:r>
        <w:rPr>
          <w:b/>
          <w:bCs/>
        </w:rPr>
        <w:t xml:space="preserve">Model stakeholder (Freeman, 1984): </w:t>
      </w:r>
      <w:r>
        <w:t xml:space="preserve">pemegang saham hanyalah satu dari banyak kelompok — ada juga pemerintah, masyarakat sipil, kompetitor — yang kepentingannya sah untuk diperhitungkan.</w:t>
      </w:r>
    </w:p>
    <w:p>
      <w:pPr>
        <w:pStyle w:val="ListParagraph"/>
        <w:numPr>
          <w:ilvl w:val="0"/>
          <w:numId w:val="3"/>
        </w:numPr>
      </w:pPr>
      <w:r>
        <w:rPr>
          <w:b/>
          <w:bCs/>
        </w:rPr>
        <w:t xml:space="preserve">Model jejaring (Rowley, 1997): </w:t>
      </w:r>
      <w:r>
        <w:t xml:space="preserve">setiap stakeholder juga punya stakeholder-nya sendiri, sehingga terbentuk jaringan relasi berlapis. Perusahaan bisa terhubung dengan satu kelompok secara tidak langsung, lewat perantara.</w:t>
      </w:r>
    </w:p>
    <w:p>
      <w:pPr>
        <w:pStyle w:val="Heading2"/>
      </w:pPr>
      <w:r>
        <w:t xml:space="preserve">3.2 Mengapa klaim mereka sah — dan apa artinya bagi manajemen</w:t>
      </w:r>
    </w:p>
    <w:p>
      <w:r>
        <w:t xml:space="preserve">Teori ini harus menjawab keberatan kedua Friedman: mengapa kelompok selain pemegang saham berhak menuntut perusahaan? Ada dua jawaban:</w:t>
      </w:r>
    </w:p>
    <w:p>
      <w:pPr>
        <w:pStyle w:val="ListParagraph"/>
        <w:numPr>
          <w:ilvl w:val="0"/>
          <w:numId w:val="3"/>
        </w:numPr>
      </w:pPr>
      <w:r>
        <w:rPr>
          <w:b/>
          <w:bCs/>
        </w:rPr>
        <w:t xml:space="preserve">Dari sisi hukum: </w:t>
      </w:r>
      <w:r>
        <w:t xml:space="preserve">klaim mereka nyatanya sudah dilindungi. Ada kontrak yang mengikat, ditambah jaringan regulasi yang makin rapat — misalnya perlindungan hak pekerja atas kondisi kerja dan upah.</w:t>
      </w:r>
    </w:p>
    <w:p>
      <w:pPr>
        <w:pStyle w:val="ListParagraph"/>
        <w:numPr>
          <w:ilvl w:val="0"/>
          <w:numId w:val="3"/>
        </w:numPr>
      </w:pPr>
      <w:r>
        <w:rPr>
          <w:b/>
          <w:bCs/>
        </w:rPr>
        <w:t xml:space="preserve">Dari sisi ekonomi (agency problem): </w:t>
      </w:r>
      <w:r>
        <w:t xml:space="preserve">mayoritas pemegang saham tidak membeli saham untuk "memiliki" perusahaan; banyak yang membeli untuk spekulasi harga. Tidak jelas mengapa kepentingan jangka pendek semacam itu harus mengalahkan kepentingan jangka panjang karyawan, konsumen, dan pemasok. Seperti kata Sumantra Ghoshal: "kebanyakan pemegang saham bisa menjual sahamnya jauh lebih mudah daripada kebanyakan karyawan mencari pekerjaan baru."</w:t>
      </w:r>
    </w:p>
    <w:p>
      <w:r>
        <w:rPr>
          <w:b/>
          <w:bCs/>
        </w:rPr>
        <w:t xml:space="preserve">Konsekuensinya bagi manajemen: </w:t>
      </w:r>
      <w:r>
        <w:t xml:space="preserve">manajer tidak lagi sekadar agen pemegang saham. Ia tetap memikul tanggung jawab fiduciary, tetapi wajib menyeimbangkannya dengan kepentingan semua stakeholder yang sah — termasuk pihak yang tak bersuara seperti lingkungan hidup. Dari sinilah lahir gagasan stakeholder democracy: memberi stakeholder kesempatan ikut memengaruhi keputusan perusahaan.</w:t>
      </w:r>
    </w:p>
    <w:p>
      <w:r>
        <w:t xml:space="preserve">Terakhir, teori ini hadir dalam tiga bentuk (Donaldson &amp; Preston, 1995): </w:t>
      </w:r>
      <w:r>
        <w:rPr>
          <w:b/>
          <w:bCs/>
        </w:rPr>
        <w:t xml:space="preserve">normatif</w:t>
      </w:r>
      <w:r>
        <w:t xml:space="preserve"> (perusahaan seharusnya memperhitungkan stakeholder), </w:t>
      </w:r>
      <w:r>
        <w:rPr>
          <w:b/>
          <w:bCs/>
        </w:rPr>
        <w:t xml:space="preserve">deskriptif</w:t>
      </w:r>
      <w:r>
        <w:t xml:space="preserve"> (faktanya perusahaan memang memperhitungkan stakeholder), dan </w:t>
      </w:r>
      <w:r>
        <w:rPr>
          <w:b/>
          <w:bCs/>
        </w:rPr>
        <w:t xml:space="preserve">instrumental</w:t>
      </w:r>
      <w:r>
        <w:t xml:space="preserve"> (memperhitungkan stakeholder itu menguntungkan).</w:t>
      </w:r>
    </w:p>
    <w:p>
      <w:pPr>
        <w:pStyle w:val="Heading1"/>
      </w:pPr>
      <w:r>
        <w:t xml:space="preserve">Bagian 4 — Corporate Citizenship: Perusahaan sebagai Aktor Politik</w:t>
      </w:r>
    </w:p>
    <w:p>
      <w:r>
        <w:t xml:space="preserve">Keberatan ketiga Friedman berbunyi: urusan sosial adalah tugas negara, bukan manajer. Kerangka ketiga menjawab dengan sebuah kenyataan: di banyak tempat, perusahaan sudah telanjur menjalankan peran yang dulu dipegang negara.</w:t>
      </w:r>
    </w:p>
    <w:p>
      <w:pPr>
        <w:pStyle w:val="Heading2"/>
      </w:pPr>
      <w:r>
        <w:t xml:space="preserve">4.1 Tiga pergeseran yang membuatnya terjadi</w:t>
      </w:r>
    </w:p>
    <w:p>
      <w:pPr>
        <w:pStyle w:val="ListParagraph"/>
        <w:numPr>
          <w:ilvl w:val="0"/>
          <w:numId w:val="5"/>
        </w:numPr>
      </w:pPr>
      <w:r>
        <w:rPr>
          <w:b/>
          <w:bCs/>
        </w:rPr>
        <w:t xml:space="preserve">Privatisasi. </w:t>
      </w:r>
      <w:r>
        <w:t xml:space="preserve">Dulu air, listrik, pendidikan, kesehatan, dan transportasi disediakan negara. Kini banyak yang diprivatisasi — layanan publik berpindah ke tangan perusahaan.</w:t>
      </w:r>
    </w:p>
    <w:p>
      <w:pPr>
        <w:pStyle w:val="ListParagraph"/>
        <w:numPr>
          <w:ilvl w:val="0"/>
          <w:numId w:val="5"/>
        </w:numPr>
      </w:pPr>
      <w:r>
        <w:rPr>
          <w:b/>
          <w:bCs/>
        </w:rPr>
        <w:t xml:space="preserve">Kekosongan negara. </w:t>
      </w:r>
      <w:r>
        <w:t xml:space="preserve">Di negara berkembang, pemerintah sering kekurangan sumber daya. Perusahaan tambang membangun jalan, sekolah, dan rumah sakit bagi komunitas sekitar — praktis "berperan sebagai pemerintah".</w:t>
      </w:r>
    </w:p>
    <w:p>
      <w:pPr>
        <w:pStyle w:val="ListParagraph"/>
        <w:numPr>
          <w:ilvl w:val="0"/>
          <w:numId w:val="5"/>
        </w:numPr>
      </w:pPr>
      <w:r>
        <w:rPr>
          <w:b/>
          <w:bCs/>
        </w:rPr>
        <w:t xml:space="preserve">Batas yurisdiksi. </w:t>
      </w:r>
      <w:r>
        <w:t xml:space="preserve">Pasar keuangan global, iklim, dan internet melampaui kendali satu negara mana pun. Wilayah itu dijalankan oleh bisnis, maka harapan publik pun beralih ke bisnis.</w:t>
      </w:r>
    </w:p>
    <w:p>
      <w:r>
        <w:t xml:space="preserve">Akibatnya, bisnis kini menghadapi harapan-harapan sosial yang dulu hanya dialamatkan kepada pemerintah. Konsep untuk membaca pergeseran ini adalah corporate citizenship (CC).</w:t>
      </w:r>
    </w:p>
    <w:p>
      <w:pPr>
        <w:pStyle w:val="Heading2"/>
      </w:pPr>
      <w:r>
        <w:t xml:space="preserve">4.2 Tiga cara memakai istilah "corporate citizenship"</w:t>
      </w:r>
    </w:p>
    <w:p>
      <w:pPr>
        <w:pStyle w:val="ListParagraph"/>
        <w:numPr>
          <w:ilvl w:val="0"/>
          <w:numId w:val="3"/>
        </w:numPr>
      </w:pPr>
      <w:r>
        <w:rPr>
          <w:b/>
          <w:bCs/>
        </w:rPr>
        <w:t xml:space="preserve">Limited view: </w:t>
      </w:r>
      <w:r>
        <w:t xml:space="preserve">CC dipahami sebatas filantropi — perusahaan dermawan yang berbagi dengan "sesama warga".</w:t>
      </w:r>
    </w:p>
    <w:p>
      <w:pPr>
        <w:pStyle w:val="ListParagraph"/>
        <w:numPr>
          <w:ilvl w:val="0"/>
          <w:numId w:val="3"/>
        </w:numPr>
      </w:pPr>
      <w:r>
        <w:rPr>
          <w:b/>
          <w:bCs/>
        </w:rPr>
        <w:t xml:space="preserve">Equivalent view: </w:t>
      </w:r>
      <w:r>
        <w:t xml:space="preserve">CC dipakai sebagai sinonim CSR, tidak menambah makna baru.</w:t>
      </w:r>
    </w:p>
    <w:p>
      <w:pPr>
        <w:pStyle w:val="ListParagraph"/>
        <w:numPr>
          <w:ilvl w:val="0"/>
          <w:numId w:val="3"/>
        </w:numPr>
      </w:pPr>
      <w:r>
        <w:rPr>
          <w:b/>
          <w:bCs/>
        </w:rPr>
        <w:t xml:space="preserve">Extended view: </w:t>
      </w:r>
      <w:r>
        <w:t xml:space="preserve">CC dibaca sebagai peran perusahaan dalam mengelola hak-hak warga. Inilah pandangan yang dipakai buku, karena paling jujur menangkap sisi politik dari etika bisnis.</w:t>
      </w:r>
    </w:p>
    <w:p>
      <w:r>
        <w:t xml:space="preserve">Perusahaan masuk ke urusan kewarganegaraan bukan karena ia "warga sungguhan", melainkan karena kuasanya besar atas hak-hak warga sungguhan. Satu hal penting: konsep ini bersifat deskriptif — ia memotret apa yang memang terjadi, tanpa perlu tahu motifnya. Kita tidak perlu membuktikan sebuah perusahaan tulus atau tidak untuk menyebutnya menjalankan peran corporate citizenship.</w:t>
      </w:r>
    </w:p>
    <w:p>
      <w:pPr>
        <w:pStyle w:val="Heading2"/>
      </w:pPr>
      <w:r>
        <w:t xml:space="preserve">4.3 Tiga hak warga dan peran perusahaan atasnya</w:t>
      </w:r>
    </w:p>
    <w:p>
      <w:r>
        <w:t xml:space="preserve">Mengikuti T.H. Marshall (1965), hak warga negara terdiri atas tiga jenis. Terhadap masing-masing, perusahaan bisa memainkan peran yang berlawanan arah (Matten &amp; Crane, 2005):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2E3192" w:val="clear"/>
            <w:tcMar>
              <w:top w:type="dxa" w:w="90"/>
              <w:left w:type="dxa" w:w="120"/>
              <w:bottom w:type="dxa" w:w="90"/>
              <w:right w:type="dxa" w:w="120"/>
            </w:tcMar>
            <w:vAlign w:val="center"/>
          </w:tcPr>
          <w:p>
            <w:pPr>
              <w:spacing w:after="0"/>
            </w:pPr>
            <w:r>
              <w:rPr>
                <w:b/>
                <w:bCs/>
                <w:color w:val="FFFFFF"/>
                <w:sz w:val="20"/>
                <w:szCs w:val="20"/>
              </w:rPr>
              <w:t xml:space="preserve">Hak</w:t>
            </w:r>
          </w:p>
        </w:tc>
        <w:tc>
          <w:tcPr>
            <w:tcW w:type="dxa" w:w="3400"/>
            <w:shd w:fill="2E3192" w:val="clear"/>
            <w:tcMar>
              <w:top w:type="dxa" w:w="90"/>
              <w:left w:type="dxa" w:w="120"/>
              <w:bottom w:type="dxa" w:w="90"/>
              <w:right w:type="dxa" w:w="120"/>
            </w:tcMar>
            <w:vAlign w:val="center"/>
          </w:tcPr>
          <w:p>
            <w:pPr>
              <w:spacing w:after="0"/>
            </w:pPr>
            <w:r>
              <w:rPr>
                <w:b/>
                <w:bCs/>
                <w:color w:val="FFFFFF"/>
                <w:sz w:val="20"/>
                <w:szCs w:val="20"/>
              </w:rPr>
              <w:t xml:space="preserve">Artinya</w:t>
            </w:r>
          </w:p>
        </w:tc>
        <w:tc>
          <w:tcPr>
            <w:tcW w:type="dxa" w:w="3760"/>
            <w:shd w:fill="2E3192" w:val="clear"/>
            <w:tcMar>
              <w:top w:type="dxa" w:w="90"/>
              <w:left w:type="dxa" w:w="120"/>
              <w:bottom w:type="dxa" w:w="90"/>
              <w:right w:type="dxa" w:w="120"/>
            </w:tcMar>
            <w:vAlign w:val="center"/>
          </w:tcPr>
          <w:p>
            <w:pPr>
              <w:spacing w:after="0"/>
            </w:pPr>
            <w:r>
              <w:rPr>
                <w:b/>
                <w:bCs/>
                <w:color w:val="FFFFFF"/>
                <w:sz w:val="20"/>
                <w:szCs w:val="20"/>
              </w:rPr>
              <w:t xml:space="preserve">Peran perusahaan</w:t>
            </w:r>
          </w:p>
        </w:tc>
      </w:tr>
      <w:tr>
        <w:tc>
          <w:tcPr>
            <w:tcW w:type="dxa" w:w="2200"/>
            <w:tcMar>
              <w:top w:type="dxa" w:w="90"/>
              <w:left w:type="dxa" w:w="120"/>
              <w:bottom w:type="dxa" w:w="90"/>
              <w:right w:type="dxa" w:w="120"/>
            </w:tcMar>
            <w:vAlign w:val="center"/>
          </w:tcPr>
          <w:p>
            <w:pPr>
              <w:spacing w:after="0"/>
            </w:pPr>
            <w:r>
              <w:rPr>
                <w:sz w:val="20"/>
                <w:szCs w:val="20"/>
              </w:rPr>
              <w:t xml:space="preserve">Hak sosial ("freedom to")</w:t>
            </w:r>
          </w:p>
        </w:tc>
        <w:tc>
          <w:tcPr>
            <w:tcW w:type="dxa" w:w="3400"/>
            <w:tcMar>
              <w:top w:type="dxa" w:w="90"/>
              <w:left w:type="dxa" w:w="120"/>
              <w:bottom w:type="dxa" w:w="90"/>
              <w:right w:type="dxa" w:w="120"/>
            </w:tcMar>
            <w:vAlign w:val="center"/>
          </w:tcPr>
          <w:p>
            <w:pPr>
              <w:spacing w:after="0"/>
            </w:pPr>
            <w:r>
              <w:rPr>
                <w:sz w:val="20"/>
                <w:szCs w:val="20"/>
              </w:rPr>
              <w:t xml:space="preserve">Kebebasan untuk ikut serta dalam masyarakat: pendidikan, kesehatan, kesejahteraan.</w:t>
            </w:r>
          </w:p>
        </w:tc>
        <w:tc>
          <w:tcPr>
            <w:tcW w:type="dxa" w:w="3760"/>
            <w:tcMar>
              <w:top w:type="dxa" w:w="90"/>
              <w:left w:type="dxa" w:w="120"/>
              <w:bottom w:type="dxa" w:w="90"/>
              <w:right w:type="dxa" w:w="120"/>
            </w:tcMar>
            <w:vAlign w:val="center"/>
          </w:tcPr>
          <w:p>
            <w:pPr>
              <w:spacing w:after="0"/>
            </w:pPr>
            <w:r>
              <w:rPr>
                <w:sz w:val="20"/>
                <w:szCs w:val="20"/>
              </w:rPr>
              <w:t xml:space="preserve">Provider (penyedia) atau ignorer (pengabai). Contoh: perusahaan membangun sekolah dan pusat kesehatan.</w:t>
            </w:r>
          </w:p>
        </w:tc>
      </w:tr>
      <w:tr>
        <w:tc>
          <w:tcPr>
            <w:tcW w:type="dxa" w:w="2200"/>
            <w:tcMar>
              <w:top w:type="dxa" w:w="90"/>
              <w:left w:type="dxa" w:w="120"/>
              <w:bottom w:type="dxa" w:w="90"/>
              <w:right w:type="dxa" w:w="120"/>
            </w:tcMar>
            <w:vAlign w:val="center"/>
          </w:tcPr>
          <w:p>
            <w:pPr>
              <w:spacing w:after="0"/>
            </w:pPr>
            <w:r>
              <w:rPr>
                <w:sz w:val="20"/>
                <w:szCs w:val="20"/>
              </w:rPr>
              <w:t xml:space="preserve">Hak sipil ("freedom from")</w:t>
            </w:r>
          </w:p>
        </w:tc>
        <w:tc>
          <w:tcPr>
            <w:tcW w:type="dxa" w:w="3400"/>
            <w:tcMar>
              <w:top w:type="dxa" w:w="90"/>
              <w:left w:type="dxa" w:w="120"/>
              <w:bottom w:type="dxa" w:w="90"/>
              <w:right w:type="dxa" w:w="120"/>
            </w:tcMar>
            <w:vAlign w:val="center"/>
          </w:tcPr>
          <w:p>
            <w:pPr>
              <w:spacing w:after="0"/>
            </w:pPr>
            <w:r>
              <w:rPr>
                <w:sz w:val="20"/>
                <w:szCs w:val="20"/>
              </w:rPr>
              <w:t xml:space="preserve">Kebebasan dari campur tangan pihak lain: hak milik, berdagang, kebebasan berbicara.</w:t>
            </w:r>
          </w:p>
        </w:tc>
        <w:tc>
          <w:tcPr>
            <w:tcW w:type="dxa" w:w="3760"/>
            <w:tcMar>
              <w:top w:type="dxa" w:w="90"/>
              <w:left w:type="dxa" w:w="120"/>
              <w:bottom w:type="dxa" w:w="90"/>
              <w:right w:type="dxa" w:w="120"/>
            </w:tcMar>
            <w:vAlign w:val="center"/>
          </w:tcPr>
          <w:p>
            <w:pPr>
              <w:spacing w:after="0"/>
            </w:pPr>
            <w:r>
              <w:rPr>
                <w:sz w:val="20"/>
                <w:szCs w:val="20"/>
              </w:rPr>
              <w:t xml:space="preserve">Enabler (pemampu) atau disabler (penghambat). Contoh: perusahaan internet bisa melindungi atau melanggar privasi penggunanya.</w:t>
            </w:r>
          </w:p>
        </w:tc>
      </w:tr>
      <w:tr>
        <w:tc>
          <w:tcPr>
            <w:tcW w:type="dxa" w:w="2200"/>
            <w:tcMar>
              <w:top w:type="dxa" w:w="90"/>
              <w:left w:type="dxa" w:w="120"/>
              <w:bottom w:type="dxa" w:w="90"/>
              <w:right w:type="dxa" w:w="120"/>
            </w:tcMar>
            <w:vAlign w:val="center"/>
          </w:tcPr>
          <w:p>
            <w:pPr>
              <w:spacing w:after="0"/>
            </w:pPr>
            <w:r>
              <w:rPr>
                <w:sz w:val="20"/>
                <w:szCs w:val="20"/>
              </w:rPr>
              <w:t xml:space="preserve">Hak politik</w:t>
            </w:r>
          </w:p>
        </w:tc>
        <w:tc>
          <w:tcPr>
            <w:tcW w:type="dxa" w:w="3400"/>
            <w:tcMar>
              <w:top w:type="dxa" w:w="90"/>
              <w:left w:type="dxa" w:w="120"/>
              <w:bottom w:type="dxa" w:w="90"/>
              <w:right w:type="dxa" w:w="120"/>
            </w:tcMar>
            <w:vAlign w:val="center"/>
          </w:tcPr>
          <w:p>
            <w:pPr>
              <w:spacing w:after="0"/>
            </w:pPr>
            <w:r>
              <w:rPr>
                <w:sz w:val="20"/>
                <w:szCs w:val="20"/>
              </w:rPr>
              <w:t xml:space="preserve">Hak memilih, menjabat, dan ikut dalam proses pemerintahan.</w:t>
            </w:r>
          </w:p>
        </w:tc>
        <w:tc>
          <w:tcPr>
            <w:tcW w:type="dxa" w:w="3760"/>
            <w:tcMar>
              <w:top w:type="dxa" w:w="90"/>
              <w:left w:type="dxa" w:w="120"/>
              <w:bottom w:type="dxa" w:w="90"/>
              <w:right w:type="dxa" w:w="120"/>
            </w:tcMar>
            <w:vAlign w:val="center"/>
          </w:tcPr>
          <w:p>
            <w:pPr>
              <w:spacing w:after="0"/>
            </w:pPr>
            <w:r>
              <w:rPr>
                <w:sz w:val="20"/>
                <w:szCs w:val="20"/>
              </w:rPr>
              <w:t xml:space="preserve">Channel (saluran) atau blockage (penyumbat). Warga kini sering menyalurkan aksi politiknya lewat perusahaan — kampanye, protes, boikot.</w:t>
            </w:r>
          </w:p>
        </w:tc>
      </w:tr>
    </w:tbl>
    <w:tbl>
      <w:tblPr>
        <w:tblW w:type="dxa" w:w="9360"/>
        <w:tblBorders>
          <w:top w:val="none"/>
          <w:left w:val="none"/>
          <w:bottom w:val="none"/>
          <w:right w:val="none"/>
          <w:insideH w:val="none"/>
          <w:insideV w:val="none"/>
        </w:tblBorders>
      </w:tblPr>
      <w:tblGrid>
        <w:gridCol w:w="9360"/>
      </w:tblGrid>
      <w:tr>
        <w:tc>
          <w:tcPr>
            <w:tcW w:type="dxa" w:w="9360"/>
            <w:shd w:fill="F2F2F5" w:val="clear"/>
            <w:tcMar>
              <w:top w:type="dxa" w:w="140"/>
              <w:left w:type="dxa" w:w="200"/>
              <w:bottom w:type="dxa" w:w="140"/>
              <w:right w:type="dxa" w:w="200"/>
            </w:tcMar>
          </w:tcPr>
          <w:p>
            <w:pPr>
              <w:spacing w:after="0"/>
            </w:pPr>
            <w:r>
              <w:rPr>
                <w:b/>
                <w:bCs/>
              </w:rPr>
              <w:t xml:space="preserve">Definisi corporate citizenship (extended view): </w:t>
            </w:r>
            <w:r>
              <w:rPr>
                <w:i/>
                <w:iCs/>
              </w:rPr>
              <w:t xml:space="preserve">peran korporasi dalam mengelola hak-hak kewarganegaraan individu.</w:t>
            </w:r>
          </w:p>
        </w:tc>
      </w:tr>
    </w:tbl>
    <w:p>
      <w:pPr>
        <w:pStyle w:val="Heading2"/>
      </w:pPr>
      <w:r>
        <w:t xml:space="preserve">4.4 Akuntabilitas dan transparansi</w:t>
      </w:r>
    </w:p>
    <w:p>
      <w:r>
        <w:t xml:space="preserve">Kalau perusahaan sudah menjadi aktor politik, muncul kegelisahan: apakah ini ancaman bagi demokrasi? Banyak keputusan penting kini diambil korporasi yang tidak dipilih lewat pemilu. Dari sinilah dua tuntutan muncul:</w:t>
      </w:r>
    </w:p>
    <w:p>
      <w:pPr>
        <w:pStyle w:val="ListParagraph"/>
        <w:numPr>
          <w:ilvl w:val="0"/>
          <w:numId w:val="3"/>
        </w:numPr>
      </w:pPr>
      <w:r>
        <w:rPr>
          <w:b/>
          <w:bCs/>
        </w:rPr>
        <w:t xml:space="preserve">Corporate accountability: </w:t>
      </w:r>
      <w:r>
        <w:t xml:space="preserve">siapa yang mengendalikan perusahaan, dan kepada siapa ia harus mempertanggungjawabkan tindakannya?</w:t>
      </w:r>
    </w:p>
    <w:p>
      <w:pPr>
        <w:pStyle w:val="ListParagraph"/>
        <w:numPr>
          <w:ilvl w:val="0"/>
          <w:numId w:val="3"/>
        </w:numPr>
      </w:pPr>
      <w:r>
        <w:rPr>
          <w:b/>
          <w:bCs/>
        </w:rPr>
        <w:t xml:space="preserve">Corporate transparency: </w:t>
      </w:r>
      <w:r>
        <w:t xml:space="preserve">sejauh mana keputusan dan dampak perusahaan dibuat terlihat oleh pihak yang berkepentingan? Hanya jika orang tahu apa yang perusahaan lakukan, mereka bisa menuntut perubahan — atau berhenti mendukungnya.</w:t>
      </w:r>
    </w:p>
    <w:p>
      <w:r>
        <w:t xml:space="preserve">Kualitas transparansi diukur dengan tiga hal (Schnackenberg &amp; Tomlinson, 2014): </w:t>
      </w:r>
      <w:r>
        <w:rPr>
          <w:b/>
          <w:bCs/>
        </w:rPr>
        <w:t xml:space="preserve">disclosure</w:t>
      </w:r>
      <w:r>
        <w:t xml:space="preserve"> (informasinya tersedia dan mudah diakses), </w:t>
      </w:r>
      <w:r>
        <w:rPr>
          <w:b/>
          <w:bCs/>
        </w:rPr>
        <w:t xml:space="preserve">clarity</w:t>
      </w:r>
      <w:r>
        <w:t xml:space="preserve"> (mudah dipahami), dan </w:t>
      </w:r>
      <w:r>
        <w:rPr>
          <w:b/>
          <w:bCs/>
        </w:rPr>
        <w:t xml:space="preserve">accuracy</w:t>
      </w:r>
      <w:r>
        <w:t xml:space="preserve"> (benar dan bisa diandalkan).</w:t>
      </w:r>
    </w:p>
    <w:p>
      <w:pPr>
        <w:pStyle w:val="Heading1"/>
        <w:pageBreakBefore/>
      </w:pPr>
      <w:r>
        <w:t xml:space="preserve">Bagian 5 — Studi Kasus PT Djarum</w:t>
      </w:r>
    </w:p>
    <w:p>
      <w:r>
        <w:t xml:space="preserve">Sekarang ketiga kerangka di atas kita uji pada satu kasus nyata di Indonesia. PT Djarum dipilih karena kasusnya menekan setiap lapis teori: perusahaan yang legal tetapi produknya berisiko, kontributor ekonomi raksasa, dengan program sosial yang luas — dan justru program sosial itulah yang menjadi sengketa publik.</w:t>
      </w:r>
    </w:p>
    <w:p>
      <w:pPr>
        <w:pStyle w:val="Heading2"/>
      </w:pPr>
      <w:r>
        <w:t xml:space="preserve">5.1 Profil dan paradoks</w:t>
      </w:r>
    </w:p>
    <w:p>
      <w:r>
        <w:t xml:space="preserve">PT Djarum berdiri tahun 1951 di Kudus, Jawa Tengah, dan termasuk tiga besar industri rokok Indonesia. Perusahaan ini menyerap lebih dari 56.000 tenaga kerja langsung dan menyetor cukai serta pajak sekitar Rp35 triliun (2017). Sejak 1986 kegiatan sosialnya diwadahi Djarum Foundation dengan lima pilar "Bakti": Pendidikan, Olahraga, Lingkungan, Budaya, dan Sosial.</w:t>
      </w:r>
    </w:p>
    <w:p>
      <w:r>
        <w:t xml:space="preserve">Paradoksnya tiga lapis. Pertama, rokok legal diproduksi dan dijual, tetapi diatur ketat karena dampak kesehatannya — patuh hukum belum tentu diterima secara etis. Kedua, kontribusi ekonominya sangat besar: puluhan ribu pekerja, rantai petani tembakau dan cengkeh, dan Kudus adalah penyumbang Cukai Hasil Tembakau terbesar nasional. Ketiga, program sosialnya berumur puluhan tahun, tetapi pada 2019 justru program itulah — bukan produknya — yang dipersoalkan publik.</w:t>
      </w:r>
    </w:p>
    <w:p>
      <w:pPr>
        <w:pStyle w:val="Heading2"/>
      </w:pPr>
      <w:r>
        <w:t xml:space="preserve">5.2 Lensa 1 (CSR): piramida Carroll pada Djarum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w:trPr>
          <w:tblHeader/>
        </w:trPr>
        <w:tc>
          <w:tcPr>
            <w:tcW w:type="dxa" w:w="2200"/>
            <w:shd w:fill="6B2233" w:val="clear"/>
            <w:tcMar>
              <w:top w:type="dxa" w:w="90"/>
              <w:left w:type="dxa" w:w="120"/>
              <w:bottom w:type="dxa" w:w="90"/>
              <w:right w:type="dxa" w:w="120"/>
            </w:tcMar>
            <w:vAlign w:val="center"/>
          </w:tcPr>
          <w:p>
            <w:pPr>
              <w:spacing w:after="0"/>
            </w:pPr>
            <w:r>
              <w:rPr>
                <w:b/>
                <w:bCs/>
                <w:color w:val="FFFFFF"/>
                <w:sz w:val="20"/>
                <w:szCs w:val="20"/>
              </w:rPr>
              <w:t xml:space="preserve">Lapis</w:t>
            </w:r>
          </w:p>
        </w:tc>
        <w:tc>
          <w:tcPr>
            <w:tcW w:type="dxa" w:w="5760"/>
            <w:shd w:fill="6B2233" w:val="clear"/>
            <w:tcMar>
              <w:top w:type="dxa" w:w="90"/>
              <w:left w:type="dxa" w:w="120"/>
              <w:bottom w:type="dxa" w:w="90"/>
              <w:right w:type="dxa" w:w="120"/>
            </w:tcMar>
            <w:vAlign w:val="center"/>
          </w:tcPr>
          <w:p>
            <w:pPr>
              <w:spacing w:after="0"/>
            </w:pPr>
            <w:r>
              <w:rPr>
                <w:b/>
                <w:bCs/>
                <w:color w:val="FFFFFF"/>
                <w:sz w:val="20"/>
                <w:szCs w:val="20"/>
              </w:rPr>
              <w:t xml:space="preserve">Bukti pada PT Djarum</w:t>
            </w:r>
          </w:p>
        </w:tc>
        <w:tc>
          <w:tcPr>
            <w:tcW w:type="dxa" w:w="1400"/>
            <w:shd w:fill="6B2233" w:val="clear"/>
            <w:tcMar>
              <w:top w:type="dxa" w:w="90"/>
              <w:left w:type="dxa" w:w="120"/>
              <w:bottom w:type="dxa" w:w="90"/>
              <w:right w:type="dxa" w:w="120"/>
            </w:tcMar>
            <w:vAlign w:val="center"/>
          </w:tcPr>
          <w:p>
            <w:pPr>
              <w:spacing w:after="0"/>
            </w:pPr>
            <w:r>
              <w:rPr>
                <w:b/>
                <w:bCs/>
                <w:color w:val="FFFFFF"/>
                <w:sz w:val="20"/>
                <w:szCs w:val="20"/>
              </w:rPr>
              <w:t xml:space="preserve">Penilaian</w:t>
            </w:r>
          </w:p>
        </w:tc>
      </w:tr>
      <w:tr>
        <w:tc>
          <w:tcPr>
            <w:tcW w:type="dxa" w:w="2200"/>
            <w:tcMar>
              <w:top w:type="dxa" w:w="90"/>
              <w:left w:type="dxa" w:w="120"/>
              <w:bottom w:type="dxa" w:w="90"/>
              <w:right w:type="dxa" w:w="120"/>
            </w:tcMar>
            <w:vAlign w:val="center"/>
          </w:tcPr>
          <w:p>
            <w:pPr>
              <w:spacing w:after="0"/>
            </w:pPr>
            <w:r>
              <w:rPr>
                <w:sz w:val="20"/>
                <w:szCs w:val="20"/>
              </w:rPr>
              <w:t xml:space="preserve">Ekonomi (required)</w:t>
            </w:r>
          </w:p>
        </w:tc>
        <w:tc>
          <w:tcPr>
            <w:tcW w:type="dxa" w:w="5760"/>
            <w:tcMar>
              <w:top w:type="dxa" w:w="90"/>
              <w:left w:type="dxa" w:w="120"/>
              <w:bottom w:type="dxa" w:w="90"/>
              <w:right w:type="dxa" w:w="120"/>
            </w:tcMar>
            <w:vAlign w:val="center"/>
          </w:tcPr>
          <w:p>
            <w:pPr>
              <w:spacing w:after="0"/>
            </w:pPr>
            <w:r>
              <w:rPr>
                <w:sz w:val="20"/>
                <w:szCs w:val="20"/>
              </w:rPr>
              <w:t xml:space="preserve">Lebih dari 56.000 pekerja, setoran cukai dan pajak sekitar Rp35 triliun, rantai pasok petani tembakau dan cengkeh.</w:t>
            </w:r>
          </w:p>
        </w:tc>
        <w:tc>
          <w:tcPr>
            <w:tcW w:type="dxa" w:w="1400"/>
            <w:tcMar>
              <w:top w:type="dxa" w:w="90"/>
              <w:left w:type="dxa" w:w="120"/>
              <w:bottom w:type="dxa" w:w="90"/>
              <w:right w:type="dxa" w:w="120"/>
            </w:tcMar>
            <w:vAlign w:val="center"/>
          </w:tcPr>
          <w:p>
            <w:pPr>
              <w:spacing w:after="0"/>
            </w:pPr>
            <w:r>
              <w:rPr>
                <w:sz w:val="20"/>
                <w:szCs w:val="20"/>
              </w:rPr>
              <w:t xml:space="preserve">KUAT</w:t>
            </w:r>
          </w:p>
        </w:tc>
      </w:tr>
      <w:tr>
        <w:tc>
          <w:tcPr>
            <w:tcW w:type="dxa" w:w="2200"/>
            <w:tcMar>
              <w:top w:type="dxa" w:w="90"/>
              <w:left w:type="dxa" w:w="120"/>
              <w:bottom w:type="dxa" w:w="90"/>
              <w:right w:type="dxa" w:w="120"/>
            </w:tcMar>
            <w:vAlign w:val="center"/>
          </w:tcPr>
          <w:p>
            <w:pPr>
              <w:spacing w:after="0"/>
            </w:pPr>
            <w:r>
              <w:rPr>
                <w:sz w:val="20"/>
                <w:szCs w:val="20"/>
              </w:rPr>
              <w:t xml:space="preserve">Hukum (required)</w:t>
            </w:r>
          </w:p>
        </w:tc>
        <w:tc>
          <w:tcPr>
            <w:tcW w:type="dxa" w:w="5760"/>
            <w:tcMar>
              <w:top w:type="dxa" w:w="90"/>
              <w:left w:type="dxa" w:w="120"/>
              <w:bottom w:type="dxa" w:w="90"/>
              <w:right w:type="dxa" w:w="120"/>
            </w:tcMar>
            <w:vAlign w:val="center"/>
          </w:tcPr>
          <w:p>
            <w:pPr>
              <w:spacing w:after="0"/>
            </w:pPr>
            <w:r>
              <w:rPr>
                <w:sz w:val="20"/>
                <w:szCs w:val="20"/>
              </w:rPr>
              <w:t xml:space="preserve">Tunduk pada ketentuan cukai dan PP No. 109/2012: peringatan kesehatan, pembatasan iklan, larangan penjualan kepada anak.</w:t>
            </w:r>
          </w:p>
        </w:tc>
        <w:tc>
          <w:tcPr>
            <w:tcW w:type="dxa" w:w="1400"/>
            <w:tcMar>
              <w:top w:type="dxa" w:w="90"/>
              <w:left w:type="dxa" w:w="120"/>
              <w:bottom w:type="dxa" w:w="90"/>
              <w:right w:type="dxa" w:w="120"/>
            </w:tcMar>
            <w:vAlign w:val="center"/>
          </w:tcPr>
          <w:p>
            <w:pPr>
              <w:spacing w:after="0"/>
            </w:pPr>
            <w:r>
              <w:rPr>
                <w:sz w:val="20"/>
                <w:szCs w:val="20"/>
              </w:rPr>
              <w:t xml:space="preserve">PATUH</w:t>
            </w:r>
          </w:p>
        </w:tc>
      </w:tr>
      <w:tr>
        <w:tc>
          <w:tcPr>
            <w:tcW w:type="dxa" w:w="2200"/>
            <w:tcMar>
              <w:top w:type="dxa" w:w="90"/>
              <w:left w:type="dxa" w:w="120"/>
              <w:bottom w:type="dxa" w:w="90"/>
              <w:right w:type="dxa" w:w="120"/>
            </w:tcMar>
            <w:vAlign w:val="center"/>
          </w:tcPr>
          <w:p>
            <w:pPr>
              <w:spacing w:after="0"/>
            </w:pPr>
            <w:r>
              <w:rPr>
                <w:sz w:val="20"/>
                <w:szCs w:val="20"/>
              </w:rPr>
              <w:t xml:space="preserve">Etis (expected)</w:t>
            </w:r>
          </w:p>
        </w:tc>
        <w:tc>
          <w:tcPr>
            <w:tcW w:type="dxa" w:w="5760"/>
            <w:tcMar>
              <w:top w:type="dxa" w:w="90"/>
              <w:left w:type="dxa" w:w="120"/>
              <w:bottom w:type="dxa" w:w="90"/>
              <w:right w:type="dxa" w:w="120"/>
            </w:tcMar>
            <w:vAlign w:val="center"/>
          </w:tcPr>
          <w:p>
            <w:pPr>
              <w:spacing w:after="0"/>
            </w:pPr>
            <w:r>
              <w:rPr>
                <w:sz w:val="20"/>
                <w:szCs w:val="20"/>
              </w:rPr>
              <w:t xml:space="preserve">Titik paling dipersoalkan: produk berdampak kesehatan, dan paparan merek kepada anak lewat kegiatan sosial — meski semuanya legal.</w:t>
            </w:r>
          </w:p>
        </w:tc>
        <w:tc>
          <w:tcPr>
            <w:tcW w:type="dxa" w:w="1400"/>
            <w:tcMar>
              <w:top w:type="dxa" w:w="90"/>
              <w:left w:type="dxa" w:w="120"/>
              <w:bottom w:type="dxa" w:w="90"/>
              <w:right w:type="dxa" w:w="120"/>
            </w:tcMar>
            <w:vAlign w:val="center"/>
          </w:tcPr>
          <w:p>
            <w:pPr>
              <w:spacing w:after="0"/>
            </w:pPr>
            <w:r>
              <w:rPr>
                <w:sz w:val="20"/>
                <w:szCs w:val="20"/>
              </w:rPr>
              <w:t xml:space="preserve">RAPUH</w:t>
            </w:r>
          </w:p>
        </w:tc>
      </w:tr>
      <w:tr>
        <w:tc>
          <w:tcPr>
            <w:tcW w:type="dxa" w:w="2200"/>
            <w:tcMar>
              <w:top w:type="dxa" w:w="90"/>
              <w:left w:type="dxa" w:w="120"/>
              <w:bottom w:type="dxa" w:w="90"/>
              <w:right w:type="dxa" w:w="120"/>
            </w:tcMar>
            <w:vAlign w:val="center"/>
          </w:tcPr>
          <w:p>
            <w:pPr>
              <w:spacing w:after="0"/>
            </w:pPr>
            <w:r>
              <w:rPr>
                <w:sz w:val="20"/>
                <w:szCs w:val="20"/>
              </w:rPr>
              <w:t xml:space="preserve">Filantropis (desired)</w:t>
            </w:r>
          </w:p>
        </w:tc>
        <w:tc>
          <w:tcPr>
            <w:tcW w:type="dxa" w:w="5760"/>
            <w:tcMar>
              <w:top w:type="dxa" w:w="90"/>
              <w:left w:type="dxa" w:w="120"/>
              <w:bottom w:type="dxa" w:w="90"/>
              <w:right w:type="dxa" w:w="120"/>
            </w:tcMar>
            <w:vAlign w:val="center"/>
          </w:tcPr>
          <w:p>
            <w:pPr>
              <w:spacing w:after="0"/>
            </w:pPr>
            <w:r>
              <w:rPr>
                <w:sz w:val="20"/>
                <w:szCs w:val="20"/>
              </w:rPr>
              <w:t xml:space="preserve">Djarum Foundation dengan lima pilar Bakti sejak 1986.</w:t>
            </w:r>
          </w:p>
        </w:tc>
        <w:tc>
          <w:tcPr>
            <w:tcW w:type="dxa" w:w="1400"/>
            <w:tcMar>
              <w:top w:type="dxa" w:w="90"/>
              <w:left w:type="dxa" w:w="120"/>
              <w:bottom w:type="dxa" w:w="90"/>
              <w:right w:type="dxa" w:w="120"/>
            </w:tcMar>
            <w:vAlign w:val="center"/>
          </w:tcPr>
          <w:p>
            <w:pPr>
              <w:spacing w:after="0"/>
            </w:pPr>
            <w:r>
              <w:rPr>
                <w:sz w:val="20"/>
                <w:szCs w:val="20"/>
              </w:rPr>
              <w:t xml:space="preserve">KUAT</w:t>
            </w:r>
          </w:p>
        </w:tc>
      </w:tr>
    </w:tbl>
    <w:p>
      <w:r>
        <w:t xml:space="preserve">Temuannya menarik: Djarum kokoh di lapis yang diwajibkan (ekonomi, hukum) dan di lapis yang diinginkan (filantropis), tetapi paling lemah justru di lapis yang diharapkan masyarakat (etis). Ini persis kelemahan piramida Carroll yang disinggung di Bagian 2: model itu diam ketika dua lapis saling bertentangan. Berbuat banyak di lapis filantropis tidak otomatis menutup kekosongan di lapis etis.</w:t>
      </w:r>
    </w:p>
    <w:p>
      <w:pPr>
        <w:pStyle w:val="Heading3"/>
      </w:pPr>
      <w:r>
        <w:t xml:space="preserve">Lima Bakti: bolt-on atau built-in?</w:t>
      </w:r>
    </w:p>
    <w:p>
      <w:pPr>
        <w:pStyle w:val="ListParagraph"/>
        <w:numPr>
          <w:ilvl w:val="0"/>
          <w:numId w:val="3"/>
        </w:numPr>
      </w:pPr>
      <w:r>
        <w:rPr>
          <w:b/>
          <w:bCs/>
        </w:rPr>
        <w:t xml:space="preserve">Bakti Pendidikan — </w:t>
      </w:r>
      <w:r>
        <w:t xml:space="preserve">Djarum Beasiswa Plus untuk mahasiswa, plus peningkatan mutu pendidikan dasar hingga vokasi di Kudus.</w:t>
      </w:r>
    </w:p>
    <w:p>
      <w:pPr>
        <w:pStyle w:val="ListParagraph"/>
        <w:numPr>
          <w:ilvl w:val="0"/>
          <w:numId w:val="3"/>
        </w:numPr>
      </w:pPr>
      <w:r>
        <w:rPr>
          <w:b/>
          <w:bCs/>
        </w:rPr>
        <w:t xml:space="preserve">Bakti Olahraga — </w:t>
      </w:r>
      <w:r>
        <w:t xml:space="preserve">PB Djarum sejak 1974; membina 11 atlet peraih medali Olimpiade, dari Liem Swie King, Alan Budikusuma, sampai Kevin Sanjaya.</w:t>
      </w:r>
    </w:p>
    <w:p>
      <w:pPr>
        <w:pStyle w:val="ListParagraph"/>
        <w:numPr>
          <w:ilvl w:val="0"/>
          <w:numId w:val="3"/>
        </w:numPr>
      </w:pPr>
      <w:r>
        <w:rPr>
          <w:b/>
          <w:bCs/>
        </w:rPr>
        <w:t xml:space="preserve">Bakti Lingkungan — </w:t>
      </w:r>
      <w:r>
        <w:t xml:space="preserve">Djarum Trees for Life: sekitar 2,3 juta pohon trembesi di Pantura dan Tol Trans-Jawa serta 1,1 juta mangrove.</w:t>
      </w:r>
    </w:p>
    <w:p>
      <w:pPr>
        <w:pStyle w:val="ListParagraph"/>
        <w:numPr>
          <w:ilvl w:val="0"/>
          <w:numId w:val="3"/>
        </w:numPr>
      </w:pPr>
      <w:r>
        <w:rPr>
          <w:b/>
          <w:bCs/>
        </w:rPr>
        <w:t xml:space="preserve">Bakti Budaya — </w:t>
      </w:r>
      <w:r>
        <w:t xml:space="preserve">apresiasi dan pengembangan seni budaya, terutama untuk generasi muda.</w:t>
      </w:r>
    </w:p>
    <w:p>
      <w:pPr>
        <w:pStyle w:val="ListParagraph"/>
        <w:numPr>
          <w:ilvl w:val="0"/>
          <w:numId w:val="3"/>
        </w:numPr>
      </w:pPr>
      <w:r>
        <w:rPr>
          <w:b/>
          <w:bCs/>
        </w:rPr>
        <w:t xml:space="preserve">Bakti Sosial — </w:t>
      </w:r>
      <w:r>
        <w:t xml:space="preserve">donor darah, penanggulangan bencana, operasi katarak gratis.</w:t>
      </w:r>
    </w:p>
    <w:p>
      <w:r>
        <w:t xml:space="preserve">Dibaca dengan Tabel 2.2, sebagian besar program ini bercorak bolt-on: nilai dibagikan setelah laba dihasilkan, terpisah dari bisnis inti, dengan pendorong citra dan penerimaan publik. Namun ada unsur built-in juga: pendidikan vokasi di Kudus memperkuat pasokan tenaga kerja daerah operasinya, dan penghijauan ikut menjaga social licence to operate.</w:t>
      </w:r>
    </w:p>
    <w:p>
      <w:pPr>
        <w:pStyle w:val="Heading3"/>
      </w:pPr>
      <w:r>
        <w:t xml:space="preserve">Kritik: CSR sebagai alat legitimasi?</w:t>
      </w:r>
    </w:p>
    <w:p>
      <w:r>
        <w:t xml:space="preserve">Fakta-fakta yang dipersoalkan publik:</w:t>
      </w:r>
    </w:p>
    <w:p>
      <w:pPr>
        <w:pStyle w:val="ListParagraph"/>
        <w:numPr>
          <w:ilvl w:val="0"/>
          <w:numId w:val="3"/>
        </w:numPr>
      </w:pPr>
      <w:r>
        <w:t xml:space="preserve">PP No. 109/2012 dinilai longgar membatasi promosi dan sponsor yang dijalankan atas nama CSR perusahaan tembakau — sebuah celah regulasi.</w:t>
      </w:r>
    </w:p>
    <w:p>
      <w:pPr>
        <w:pStyle w:val="ListParagraph"/>
        <w:numPr>
          <w:ilvl w:val="0"/>
          <w:numId w:val="3"/>
        </w:numPr>
      </w:pPr>
      <w:r>
        <w:t xml:space="preserve">Yayasan Lentera Anak mencatat, pada 2015–2018 peserta audisi bulu tangkis diwajibkan mengenakan kaos bertuliskan "Djarum" — nama yang juga merupakan merek produk tembakau.</w:t>
      </w:r>
    </w:p>
    <w:p>
      <w:pPr>
        <w:pStyle w:val="ListParagraph"/>
        <w:numPr>
          <w:ilvl w:val="0"/>
          <w:numId w:val="3"/>
        </w:numPr>
      </w:pPr>
      <w:r>
        <w:t xml:space="preserve">Survei yang dirujuk KPAI menemukan 4 dari 5 anak mengasosiasikan kata "Djarum" dengan rokok.</w:t>
      </w:r>
    </w:p>
    <w:p>
      <w:pPr>
        <w:pStyle w:val="ListParagraph"/>
        <w:numPr>
          <w:ilvl w:val="0"/>
          <w:numId w:val="3"/>
        </w:numPr>
      </w:pPr>
      <w:r>
        <w:t xml:space="preserve">Kegiatan sosial ini menjangkau anak-anak — kelompok yang oleh hukum justru dilindungi dari paparan promosi produk tembakau.</w:t>
      </w:r>
    </w:p>
    <w:p>
      <w:r>
        <w:t xml:space="preserve">Dibaca lewat teori: Friedman akan menyebutnya cari laba "berkedok tanggung jawab sosial" bila motif utamanya promosi; Banerjee melihat CSR melegitimasi kegiatan korporasi; Fleming &amp; Jones menilai CSR menopang, bukan menantang, model bisnis yang ada. Tetapi ada argumen tandingan yang adil untuk disebut: manfaat bagi penerima — beasiswa, pembinaan atlet, penghijauan — tetap nyata dan terukur. Inilah dilema klasiknya: kita menilai motif, atau menilai dampak?</w:t>
      </w:r>
    </w:p>
    <w:p>
      <w:pPr>
        <w:pStyle w:val="Heading2"/>
      </w:pPr>
      <w:r>
        <w:t xml:space="preserve">5.3 Lensa 2 (Stakeholder): peta dan benturan klaim</w:t>
      </w:r>
    </w:p>
    <w:p>
      <w:r>
        <w:t xml:space="preserve">Dengan dua prinsip Evan &amp; Freeman, stakeholder Djarum bisa dipetakan menjadi empat kelompok: (1) stakeholder primer — karyawan, petani tembakau dan cengkeh, konsumen dewasa, pemasok, pemilik; (2) pemerintah dan regulator — Kemenkeu dan Bea Cukai, Kemenkes, Kemenpora dan PBSI, pemerintah daerah; (3) masyarakat sipil — KPAI, Yayasan Lentera Anak, LSM kesehatan, media, akademisi; (4) penerima manfaat — beswan, atlet binaan dan peserta audisi, orang tua, masyarakat Kudus.</w:t>
      </w:r>
    </w:p>
    <w:tbl>
      <w:tblPr>
        <w:tblW w:type="dxa" w:w="9360"/>
        <w:tblBorders>
          <w:top w:val="none"/>
          <w:left w:val="none"/>
          <w:bottom w:val="none"/>
          <w:right w:val="none"/>
          <w:insideH w:val="none"/>
          <w:insideV w:val="none"/>
        </w:tblBorders>
      </w:tblPr>
      <w:tblGrid>
        <w:gridCol w:w="9360"/>
      </w:tblGrid>
      <w:tr>
        <w:tc>
          <w:tcPr>
            <w:tcW w:type="dxa" w:w="9360"/>
            <w:shd w:fill="F2F2F5" w:val="clear"/>
            <w:tcMar>
              <w:top w:type="dxa" w:w="140"/>
              <w:left w:type="dxa" w:w="200"/>
              <w:bottom w:type="dxa" w:w="140"/>
              <w:right w:type="dxa" w:w="200"/>
            </w:tcMar>
          </w:tcPr>
          <w:p>
            <w:pPr>
              <w:spacing w:after="0"/>
            </w:pPr>
            <w:r>
              <w:rPr>
                <w:b/>
                <w:bCs/>
              </w:rPr>
              <w:t xml:space="preserve">Mengapa anak-anak peserta audisi termasuk stakeholder? </w:t>
            </w:r>
            <w:r>
              <w:t xml:space="preserve">Mereka tidak punya kontrak apa pun dengan PT Djarum. Tetapi lewat principle of corporate effect, perusahaan bertanggung jawab atas dampak tindakannya pada pihak lain — dan lewat principle of corporate rights, ia wajib tidak melanggar hak anak. Model jejaring Rowley menjelaskan jalurnya: Djarum terhubung ke anak-anak itu lewat klub, federasi, dan orang tua mereka.</w:t>
            </w:r>
          </w:p>
        </w:tc>
      </w:tr>
    </w:tbl>
    <w:p>
      <w:r>
        <w:t xml:space="preserve">Masalah sesungguhnya: klaim para stakeholder ini saling bertabrakan dan tidak bisa dipuaskan sekaligus.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shd w:fill="2E3192" w:val="clear"/>
            <w:tcMar>
              <w:top w:type="dxa" w:w="90"/>
              <w:left w:type="dxa" w:w="120"/>
              <w:bottom w:type="dxa" w:w="90"/>
              <w:right w:type="dxa" w:w="120"/>
            </w:tcMar>
            <w:vAlign w:val="center"/>
          </w:tcPr>
          <w:p>
            <w:pPr>
              <w:spacing w:after="0"/>
            </w:pPr>
            <w:r>
              <w:rPr>
                <w:b/>
                <w:bCs/>
                <w:color w:val="FFFFFF"/>
                <w:sz w:val="20"/>
                <w:szCs w:val="20"/>
              </w:rPr>
              <w:t xml:space="preserve">Stakeholder</w:t>
            </w:r>
          </w:p>
        </w:tc>
        <w:tc>
          <w:tcPr>
            <w:tcW w:type="dxa" w:w="3300"/>
            <w:shd w:fill="2E3192" w:val="clear"/>
            <w:tcMar>
              <w:top w:type="dxa" w:w="90"/>
              <w:left w:type="dxa" w:w="120"/>
              <w:bottom w:type="dxa" w:w="90"/>
              <w:right w:type="dxa" w:w="120"/>
            </w:tcMar>
            <w:vAlign w:val="center"/>
          </w:tcPr>
          <w:p>
            <w:pPr>
              <w:spacing w:after="0"/>
            </w:pPr>
            <w:r>
              <w:rPr>
                <w:b/>
                <w:bCs/>
                <w:color w:val="FFFFFF"/>
                <w:sz w:val="20"/>
                <w:szCs w:val="20"/>
              </w:rPr>
              <w:t xml:space="preserve">Klaimnya</w:t>
            </w:r>
          </w:p>
        </w:tc>
        <w:tc>
          <w:tcPr>
            <w:tcW w:type="dxa" w:w="3660"/>
            <w:shd w:fill="2E3192" w:val="clear"/>
            <w:tcMar>
              <w:top w:type="dxa" w:w="90"/>
              <w:left w:type="dxa" w:w="120"/>
              <w:bottom w:type="dxa" w:w="90"/>
              <w:right w:type="dxa" w:w="120"/>
            </w:tcMar>
            <w:vAlign w:val="center"/>
          </w:tcPr>
          <w:p>
            <w:pPr>
              <w:spacing w:after="0"/>
            </w:pPr>
            <w:r>
              <w:rPr>
                <w:b/>
                <w:bCs/>
                <w:color w:val="FFFFFF"/>
                <w:sz w:val="20"/>
                <w:szCs w:val="20"/>
              </w:rPr>
              <w:t xml:space="preserve">Berbenturan dengan</w:t>
            </w:r>
          </w:p>
        </w:tc>
      </w:tr>
      <w:tr>
        <w:tc>
          <w:tcPr>
            <w:tcW w:type="dxa" w:w="2400"/>
            <w:tcMar>
              <w:top w:type="dxa" w:w="90"/>
              <w:left w:type="dxa" w:w="120"/>
              <w:bottom w:type="dxa" w:w="90"/>
              <w:right w:type="dxa" w:w="120"/>
            </w:tcMar>
            <w:vAlign w:val="center"/>
          </w:tcPr>
          <w:p>
            <w:pPr>
              <w:spacing w:after="0"/>
            </w:pPr>
            <w:r>
              <w:rPr>
                <w:sz w:val="20"/>
                <w:szCs w:val="20"/>
              </w:rPr>
              <w:t xml:space="preserve">Karyawan &amp; petani tembakau</w:t>
            </w:r>
          </w:p>
        </w:tc>
        <w:tc>
          <w:tcPr>
            <w:tcW w:type="dxa" w:w="3300"/>
            <w:tcMar>
              <w:top w:type="dxa" w:w="90"/>
              <w:left w:type="dxa" w:w="120"/>
              <w:bottom w:type="dxa" w:w="90"/>
              <w:right w:type="dxa" w:w="120"/>
            </w:tcMar>
            <w:vAlign w:val="center"/>
          </w:tcPr>
          <w:p>
            <w:pPr>
              <w:spacing w:after="0"/>
            </w:pPr>
            <w:r>
              <w:rPr>
                <w:sz w:val="20"/>
                <w:szCs w:val="20"/>
              </w:rPr>
              <w:t xml:space="preserve">Penghidupan dan kelangsungan pekerjaan</w:t>
            </w:r>
          </w:p>
        </w:tc>
        <w:tc>
          <w:tcPr>
            <w:tcW w:type="dxa" w:w="3660"/>
            <w:tcMar>
              <w:top w:type="dxa" w:w="90"/>
              <w:left w:type="dxa" w:w="120"/>
              <w:bottom w:type="dxa" w:w="90"/>
              <w:right w:type="dxa" w:w="120"/>
            </w:tcMar>
            <w:vAlign w:val="center"/>
          </w:tcPr>
          <w:p>
            <w:pPr>
              <w:spacing w:after="0"/>
            </w:pPr>
            <w:r>
              <w:rPr>
                <w:sz w:val="20"/>
                <w:szCs w:val="20"/>
              </w:rPr>
              <w:t xml:space="preserve">Agenda pengendalian tembakau dan penurunan jumlah perokok</w:t>
            </w:r>
          </w:p>
        </w:tc>
      </w:tr>
      <w:tr>
        <w:tc>
          <w:tcPr>
            <w:tcW w:type="dxa" w:w="2400"/>
            <w:tcMar>
              <w:top w:type="dxa" w:w="90"/>
              <w:left w:type="dxa" w:w="120"/>
              <w:bottom w:type="dxa" w:w="90"/>
              <w:right w:type="dxa" w:w="120"/>
            </w:tcMar>
            <w:vAlign w:val="center"/>
          </w:tcPr>
          <w:p>
            <w:pPr>
              <w:spacing w:after="0"/>
            </w:pPr>
            <w:r>
              <w:rPr>
                <w:sz w:val="20"/>
                <w:szCs w:val="20"/>
              </w:rPr>
              <w:t xml:space="preserve">Kemenkeu &amp; Bea Cukai</w:t>
            </w:r>
          </w:p>
        </w:tc>
        <w:tc>
          <w:tcPr>
            <w:tcW w:type="dxa" w:w="3300"/>
            <w:tcMar>
              <w:top w:type="dxa" w:w="90"/>
              <w:left w:type="dxa" w:w="120"/>
              <w:bottom w:type="dxa" w:w="90"/>
              <w:right w:type="dxa" w:w="120"/>
            </w:tcMar>
            <w:vAlign w:val="center"/>
          </w:tcPr>
          <w:p>
            <w:pPr>
              <w:spacing w:after="0"/>
            </w:pPr>
            <w:r>
              <w:rPr>
                <w:sz w:val="20"/>
                <w:szCs w:val="20"/>
              </w:rPr>
              <w:t xml:space="preserve">Penerimaan cukai yang stabil dan besar</w:t>
            </w:r>
          </w:p>
        </w:tc>
        <w:tc>
          <w:tcPr>
            <w:tcW w:type="dxa" w:w="3660"/>
            <w:tcMar>
              <w:top w:type="dxa" w:w="90"/>
              <w:left w:type="dxa" w:w="120"/>
              <w:bottom w:type="dxa" w:w="90"/>
              <w:right w:type="dxa" w:w="120"/>
            </w:tcMar>
            <w:vAlign w:val="center"/>
          </w:tcPr>
          <w:p>
            <w:pPr>
              <w:spacing w:after="0"/>
            </w:pPr>
            <w:r>
              <w:rPr>
                <w:sz w:val="20"/>
                <w:szCs w:val="20"/>
              </w:rPr>
              <w:t xml:space="preserve">Kemenkes: target kesehatan publik — dua organ negara, dua kepentingan</w:t>
            </w:r>
          </w:p>
        </w:tc>
      </w:tr>
      <w:tr>
        <w:tc>
          <w:tcPr>
            <w:tcW w:type="dxa" w:w="2400"/>
            <w:tcMar>
              <w:top w:type="dxa" w:w="90"/>
              <w:left w:type="dxa" w:w="120"/>
              <w:bottom w:type="dxa" w:w="90"/>
              <w:right w:type="dxa" w:w="120"/>
            </w:tcMar>
            <w:vAlign w:val="center"/>
          </w:tcPr>
          <w:p>
            <w:pPr>
              <w:spacing w:after="0"/>
            </w:pPr>
            <w:r>
              <w:rPr>
                <w:sz w:val="20"/>
                <w:szCs w:val="20"/>
              </w:rPr>
              <w:t xml:space="preserve">Konsumen dewasa</w:t>
            </w:r>
          </w:p>
        </w:tc>
        <w:tc>
          <w:tcPr>
            <w:tcW w:type="dxa" w:w="3300"/>
            <w:tcMar>
              <w:top w:type="dxa" w:w="90"/>
              <w:left w:type="dxa" w:w="120"/>
              <w:bottom w:type="dxa" w:w="90"/>
              <w:right w:type="dxa" w:w="120"/>
            </w:tcMar>
            <w:vAlign w:val="center"/>
          </w:tcPr>
          <w:p>
            <w:pPr>
              <w:spacing w:after="0"/>
            </w:pPr>
            <w:r>
              <w:rPr>
                <w:sz w:val="20"/>
                <w:szCs w:val="20"/>
              </w:rPr>
              <w:t xml:space="preserve">Kebebasan memilih produk yang legal</w:t>
            </w:r>
          </w:p>
        </w:tc>
        <w:tc>
          <w:tcPr>
            <w:tcW w:type="dxa" w:w="3660"/>
            <w:tcMar>
              <w:top w:type="dxa" w:w="90"/>
              <w:left w:type="dxa" w:w="120"/>
              <w:bottom w:type="dxa" w:w="90"/>
              <w:right w:type="dxa" w:w="120"/>
            </w:tcMar>
            <w:vAlign w:val="center"/>
          </w:tcPr>
          <w:p>
            <w:pPr>
              <w:spacing w:after="0"/>
            </w:pPr>
            <w:r>
              <w:rPr>
                <w:sz w:val="20"/>
                <w:szCs w:val="20"/>
              </w:rPr>
              <w:t xml:space="preserve">Hak anak atas perlindungan dari paparan merek</w:t>
            </w:r>
          </w:p>
        </w:tc>
      </w:tr>
      <w:tr>
        <w:tc>
          <w:tcPr>
            <w:tcW w:type="dxa" w:w="2400"/>
            <w:tcMar>
              <w:top w:type="dxa" w:w="90"/>
              <w:left w:type="dxa" w:w="120"/>
              <w:bottom w:type="dxa" w:w="90"/>
              <w:right w:type="dxa" w:w="120"/>
            </w:tcMar>
            <w:vAlign w:val="center"/>
          </w:tcPr>
          <w:p>
            <w:pPr>
              <w:spacing w:after="0"/>
            </w:pPr>
            <w:r>
              <w:rPr>
                <w:sz w:val="20"/>
                <w:szCs w:val="20"/>
              </w:rPr>
              <w:t xml:space="preserve">Atlet binaan &amp; beswan</w:t>
            </w:r>
          </w:p>
        </w:tc>
        <w:tc>
          <w:tcPr>
            <w:tcW w:type="dxa" w:w="3300"/>
            <w:tcMar>
              <w:top w:type="dxa" w:w="90"/>
              <w:left w:type="dxa" w:w="120"/>
              <w:bottom w:type="dxa" w:w="90"/>
              <w:right w:type="dxa" w:w="120"/>
            </w:tcMar>
            <w:vAlign w:val="center"/>
          </w:tcPr>
          <w:p>
            <w:pPr>
              <w:spacing w:after="0"/>
            </w:pPr>
            <w:r>
              <w:rPr>
                <w:sz w:val="20"/>
                <w:szCs w:val="20"/>
              </w:rPr>
              <w:t xml:space="preserve">Akses pembinaan dan beasiswa yang langka</w:t>
            </w:r>
          </w:p>
        </w:tc>
        <w:tc>
          <w:tcPr>
            <w:tcW w:type="dxa" w:w="3660"/>
            <w:tcMar>
              <w:top w:type="dxa" w:w="90"/>
              <w:left w:type="dxa" w:w="120"/>
              <w:bottom w:type="dxa" w:w="90"/>
              <w:right w:type="dxa" w:w="120"/>
            </w:tcMar>
            <w:vAlign w:val="center"/>
          </w:tcPr>
          <w:p>
            <w:pPr>
              <w:spacing w:after="0"/>
            </w:pPr>
            <w:r>
              <w:rPr>
                <w:sz w:val="20"/>
                <w:szCs w:val="20"/>
              </w:rPr>
              <w:t xml:space="preserve">Penolakan masyarakat sipil atas normalisasi merek rokok di ruang anak</w:t>
            </w:r>
          </w:p>
        </w:tc>
      </w:tr>
      <w:tr>
        <w:tc>
          <w:tcPr>
            <w:tcW w:type="dxa" w:w="2400"/>
            <w:tcMar>
              <w:top w:type="dxa" w:w="90"/>
              <w:left w:type="dxa" w:w="120"/>
              <w:bottom w:type="dxa" w:w="90"/>
              <w:right w:type="dxa" w:w="120"/>
            </w:tcMar>
            <w:vAlign w:val="center"/>
          </w:tcPr>
          <w:p>
            <w:pPr>
              <w:spacing w:after="0"/>
            </w:pPr>
            <w:r>
              <w:rPr>
                <w:sz w:val="20"/>
                <w:szCs w:val="20"/>
              </w:rPr>
              <w:t xml:space="preserve">Pemilik &amp; pemegang saham</w:t>
            </w:r>
          </w:p>
        </w:tc>
        <w:tc>
          <w:tcPr>
            <w:tcW w:type="dxa" w:w="3300"/>
            <w:tcMar>
              <w:top w:type="dxa" w:w="90"/>
              <w:left w:type="dxa" w:w="120"/>
              <w:bottom w:type="dxa" w:w="90"/>
              <w:right w:type="dxa" w:w="120"/>
            </w:tcMar>
            <w:vAlign w:val="center"/>
          </w:tcPr>
          <w:p>
            <w:pPr>
              <w:spacing w:after="0"/>
            </w:pPr>
            <w:r>
              <w:rPr>
                <w:sz w:val="20"/>
                <w:szCs w:val="20"/>
              </w:rPr>
              <w:t xml:space="preserve">Laba dan keberlanjutan bisnis</w:t>
            </w:r>
          </w:p>
        </w:tc>
        <w:tc>
          <w:tcPr>
            <w:tcW w:type="dxa" w:w="3660"/>
            <w:tcMar>
              <w:top w:type="dxa" w:w="90"/>
              <w:left w:type="dxa" w:w="120"/>
              <w:bottom w:type="dxa" w:w="90"/>
              <w:right w:type="dxa" w:w="120"/>
            </w:tcMar>
            <w:vAlign w:val="center"/>
          </w:tcPr>
          <w:p>
            <w:pPr>
              <w:spacing w:after="0"/>
            </w:pPr>
            <w:r>
              <w:rPr>
                <w:sz w:val="20"/>
                <w:szCs w:val="20"/>
              </w:rPr>
              <w:t xml:space="preserve">Tuntutan etis publik yang menekan legitimasi industri</w:t>
            </w:r>
          </w:p>
        </w:tc>
      </w:tr>
    </w:tbl>
    <w:p>
      <w:r>
        <w:t xml:space="preserve">Karena tidak ada keputusan yang memuaskan semua pihak, pendekatan Carroll saja tidak cukup. Dibutuhkan stakeholder democracy — dialog yang terlembaga — untuk memutuskan klaim mana yang didahulukan, dan dengan alasan apa.</w:t>
      </w:r>
    </w:p>
    <w:p>
      <w:pPr>
        <w:pStyle w:val="Heading2"/>
      </w:pPr>
      <w:r>
        <w:t xml:space="preserve">5.4 Lensa 3 (Corporate Citizenship): Djarum dan hak-hak warga</w:t>
      </w:r>
    </w:p>
    <w:p>
      <w:pPr>
        <w:pStyle w:val="ListParagraph"/>
        <w:numPr>
          <w:ilvl w:val="0"/>
          <w:numId w:val="3"/>
        </w:numPr>
      </w:pPr>
      <w:r>
        <w:rPr>
          <w:b/>
          <w:bCs/>
        </w:rPr>
        <w:t xml:space="preserve">Hak sosial — Djarum sebagai provider: </w:t>
      </w:r>
      <w:r>
        <w:t xml:space="preserve">beasiswa, peningkatan mutu sekolah di Kudus, operasi katarak gratis, penghijauan, infrastruktur olahraga. Ini persis skenario "pemerintah tidak sepenuhnya menjangkau" — perusahaan mengisi ruang layanan publik.</w:t>
      </w:r>
    </w:p>
    <w:p>
      <w:pPr>
        <w:pStyle w:val="ListParagraph"/>
        <w:numPr>
          <w:ilvl w:val="0"/>
          <w:numId w:val="3"/>
        </w:numPr>
      </w:pPr>
      <w:r>
        <w:rPr>
          <w:b/>
          <w:bCs/>
        </w:rPr>
        <w:t xml:space="preserve">Hak sipil — enabler sekaligus disabler: </w:t>
      </w:r>
      <w:r>
        <w:t xml:space="preserve">membuka akses ekonomi bagi puluhan ribu orang, tetapi di saat yang sama dipersoalkan karena paparan merek tembakau kepada anak. Peran ganda inilah yang membuat penilaiannya tidak bisa hitam-putih.</w:t>
      </w:r>
    </w:p>
    <w:p>
      <w:pPr>
        <w:pStyle w:val="ListParagraph"/>
        <w:numPr>
          <w:ilvl w:val="0"/>
          <w:numId w:val="3"/>
        </w:numPr>
      </w:pPr>
      <w:r>
        <w:rPr>
          <w:b/>
          <w:bCs/>
        </w:rPr>
        <w:t xml:space="preserve">Hak politik — channel sekaligus blockage: </w:t>
      </w:r>
      <w:r>
        <w:t xml:space="preserve">industri tembakau adalah aktor berpengaruh dalam perdebatan regulasi (termasuk revisi PP 109/2012); sebaliknya, publik dan LSM justru menyalurkan tekanan politiknya lewat perusahaan, bukan hanya lewat negara.</w:t>
      </w:r>
    </w:p>
    <w:p>
      <w:r>
        <w:t xml:space="preserve">Dalam extended view, PT Djarum adalah aktor politik de facto — "secara nyata", terlepas dari motifnya, karena konsep ini deskriptif. Konsekuensinya: menuntut Djarum akuntabel dan transparan selayaknya aktor publik itu wajar, bukan berlebihan.</w:t>
      </w:r>
    </w:p>
    <w:p>
      <w:pPr>
        <w:pStyle w:val="Heading3"/>
      </w:pPr>
      <w:r>
        <w:t xml:space="preserve">Kronologi polemik audisi bulu tangkis 2019 — akuntabilitas diuji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2E3192" w:val="clear"/>
            <w:tcMar>
              <w:top w:type="dxa" w:w="90"/>
              <w:left w:type="dxa" w:w="120"/>
              <w:bottom w:type="dxa" w:w="90"/>
              <w:right w:type="dxa" w:w="120"/>
            </w:tcMar>
            <w:vAlign w:val="center"/>
          </w:tcPr>
          <w:p>
            <w:pPr>
              <w:spacing w:after="0"/>
            </w:pPr>
            <w:r>
              <w:rPr>
                <w:b/>
                <w:bCs/>
                <w:color w:val="FFFFFF"/>
                <w:sz w:val="20"/>
                <w:szCs w:val="20"/>
              </w:rPr>
              <w:t xml:space="preserve">Waktu</w:t>
            </w:r>
          </w:p>
        </w:tc>
        <w:tc>
          <w:tcPr>
            <w:tcW w:type="dxa" w:w="7260"/>
            <w:shd w:fill="2E3192" w:val="clear"/>
            <w:tcMar>
              <w:top w:type="dxa" w:w="90"/>
              <w:left w:type="dxa" w:w="120"/>
              <w:bottom w:type="dxa" w:w="90"/>
              <w:right w:type="dxa" w:w="120"/>
            </w:tcMar>
            <w:vAlign w:val="center"/>
          </w:tcPr>
          <w:p>
            <w:pPr>
              <w:spacing w:after="0"/>
            </w:pPr>
            <w:r>
              <w:rPr>
                <w:b/>
                <w:bCs/>
                <w:color w:val="FFFFFF"/>
                <w:sz w:val="20"/>
                <w:szCs w:val="20"/>
              </w:rPr>
              <w:t xml:space="preserve">Peristiwa</w:t>
            </w:r>
          </w:p>
        </w:tc>
      </w:tr>
      <w:tr>
        <w:tc>
          <w:tcPr>
            <w:tcW w:type="dxa" w:w="2100"/>
            <w:tcMar>
              <w:top w:type="dxa" w:w="90"/>
              <w:left w:type="dxa" w:w="120"/>
              <w:bottom w:type="dxa" w:w="90"/>
              <w:right w:type="dxa" w:w="120"/>
            </w:tcMar>
            <w:vAlign w:val="center"/>
          </w:tcPr>
          <w:p>
            <w:pPr>
              <w:spacing w:after="0"/>
            </w:pPr>
            <w:r>
              <w:rPr>
                <w:sz w:val="20"/>
                <w:szCs w:val="20"/>
              </w:rPr>
              <w:t xml:space="preserve">2006–2018</w:t>
            </w:r>
          </w:p>
        </w:tc>
        <w:tc>
          <w:tcPr>
            <w:tcW w:type="dxa" w:w="7260"/>
            <w:tcMar>
              <w:top w:type="dxa" w:w="90"/>
              <w:left w:type="dxa" w:w="120"/>
              <w:bottom w:type="dxa" w:w="90"/>
              <w:right w:type="dxa" w:w="120"/>
            </w:tcMar>
            <w:vAlign w:val="center"/>
          </w:tcPr>
          <w:p>
            <w:pPr>
              <w:spacing w:after="0"/>
            </w:pPr>
            <w:r>
              <w:rPr>
                <w:sz w:val="20"/>
                <w:szCs w:val="20"/>
              </w:rPr>
              <w:t xml:space="preserve">Audisi Umum PB Djarum berjalan terbuka. Yayasan Lentera Anak mencatat peserta diwajibkan memakai kaos ber-merek "Djarum" sepanjang 2015–2018.</w:t>
            </w:r>
          </w:p>
        </w:tc>
      </w:tr>
      <w:tr>
        <w:tc>
          <w:tcPr>
            <w:tcW w:type="dxa" w:w="2100"/>
            <w:tcMar>
              <w:top w:type="dxa" w:w="90"/>
              <w:left w:type="dxa" w:w="120"/>
              <w:bottom w:type="dxa" w:w="90"/>
              <w:right w:type="dxa" w:w="120"/>
            </w:tcMar>
            <w:vAlign w:val="center"/>
          </w:tcPr>
          <w:p>
            <w:pPr>
              <w:spacing w:after="0"/>
            </w:pPr>
            <w:r>
              <w:rPr>
                <w:sz w:val="20"/>
                <w:szCs w:val="20"/>
              </w:rPr>
              <w:t xml:space="preserve">Juli 2019</w:t>
            </w:r>
          </w:p>
        </w:tc>
        <w:tc>
          <w:tcPr>
            <w:tcW w:type="dxa" w:w="7260"/>
            <w:tcMar>
              <w:top w:type="dxa" w:w="90"/>
              <w:left w:type="dxa" w:w="120"/>
              <w:bottom w:type="dxa" w:w="90"/>
              <w:right w:type="dxa" w:w="120"/>
            </w:tcMar>
            <w:vAlign w:val="center"/>
          </w:tcPr>
          <w:p>
            <w:pPr>
              <w:spacing w:after="0"/>
            </w:pPr>
            <w:r>
              <w:rPr>
                <w:sz w:val="20"/>
                <w:szCs w:val="20"/>
              </w:rPr>
              <w:t xml:space="preserve">Audisi di GOR KONI Bandung memicu polemik. KPAI menilai ada unsur eksploitasi terselubung: tubuh anak dipakai sebagai media promosi gratis industri tembakau.</w:t>
            </w:r>
          </w:p>
        </w:tc>
      </w:tr>
      <w:tr>
        <w:tc>
          <w:tcPr>
            <w:tcW w:type="dxa" w:w="2100"/>
            <w:tcMar>
              <w:top w:type="dxa" w:w="90"/>
              <w:left w:type="dxa" w:w="120"/>
              <w:bottom w:type="dxa" w:w="90"/>
              <w:right w:type="dxa" w:w="120"/>
            </w:tcMar>
            <w:vAlign w:val="center"/>
          </w:tcPr>
          <w:p>
            <w:pPr>
              <w:spacing w:after="0"/>
            </w:pPr>
            <w:r>
              <w:rPr>
                <w:sz w:val="20"/>
                <w:szCs w:val="20"/>
              </w:rPr>
              <w:t xml:space="preserve">September 2019</w:t>
            </w:r>
          </w:p>
        </w:tc>
        <w:tc>
          <w:tcPr>
            <w:tcW w:type="dxa" w:w="7260"/>
            <w:tcMar>
              <w:top w:type="dxa" w:w="90"/>
              <w:left w:type="dxa" w:w="120"/>
              <w:bottom w:type="dxa" w:w="90"/>
              <w:right w:type="dxa" w:w="120"/>
            </w:tcMar>
            <w:vAlign w:val="center"/>
          </w:tcPr>
          <w:p>
            <w:pPr>
              <w:spacing w:after="0"/>
            </w:pPr>
            <w:r>
              <w:rPr>
                <w:sz w:val="20"/>
                <w:szCs w:val="20"/>
              </w:rPr>
              <w:t xml:space="preserve">PB Djarum menyatakan menghentikan audisi mulai 2020. Polemik meluas; kritik juga mengarah ke KPAI.</w:t>
            </w:r>
          </w:p>
        </w:tc>
      </w:tr>
      <w:tr>
        <w:tc>
          <w:tcPr>
            <w:tcW w:type="dxa" w:w="2100"/>
            <w:tcMar>
              <w:top w:type="dxa" w:w="90"/>
              <w:left w:type="dxa" w:w="120"/>
              <w:bottom w:type="dxa" w:w="90"/>
              <w:right w:type="dxa" w:w="120"/>
            </w:tcMar>
            <w:vAlign w:val="center"/>
          </w:tcPr>
          <w:p>
            <w:pPr>
              <w:spacing w:after="0"/>
            </w:pPr>
            <w:r>
              <w:rPr>
                <w:sz w:val="20"/>
                <w:szCs w:val="20"/>
              </w:rPr>
              <w:t xml:space="preserve">12 September 2019</w:t>
            </w:r>
          </w:p>
        </w:tc>
        <w:tc>
          <w:tcPr>
            <w:tcW w:type="dxa" w:w="7260"/>
            <w:tcMar>
              <w:top w:type="dxa" w:w="90"/>
              <w:left w:type="dxa" w:w="120"/>
              <w:bottom w:type="dxa" w:w="90"/>
              <w:right w:type="dxa" w:w="120"/>
            </w:tcMar>
            <w:vAlign w:val="center"/>
          </w:tcPr>
          <w:p>
            <w:pPr>
              <w:spacing w:after="0"/>
            </w:pPr>
            <w:r>
              <w:rPr>
                <w:sz w:val="20"/>
                <w:szCs w:val="20"/>
              </w:rPr>
              <w:t xml:space="preserve">Mediasi di Kemenpora menghasilkan tiga kesepakatan: KPAI mencabut surat permintaan penghentian; nama kegiatan menjadi "Audisi Umum Beasiswa Bulutangkis" tanpa logo, merek, dan citra Djarum; audisi dilanjutkan.</w:t>
            </w:r>
          </w:p>
        </w:tc>
      </w:tr>
      <w:tr>
        <w:tc>
          <w:tcPr>
            <w:tcW w:type="dxa" w:w="2100"/>
            <w:tcMar>
              <w:top w:type="dxa" w:w="90"/>
              <w:left w:type="dxa" w:w="120"/>
              <w:bottom w:type="dxa" w:w="90"/>
              <w:right w:type="dxa" w:w="120"/>
            </w:tcMar>
            <w:vAlign w:val="center"/>
          </w:tcPr>
          <w:p>
            <w:pPr>
              <w:spacing w:after="0"/>
            </w:pPr>
            <w:r>
              <w:rPr>
                <w:sz w:val="20"/>
                <w:szCs w:val="20"/>
              </w:rPr>
              <w:t xml:space="preserve">2020–2025</w:t>
            </w:r>
          </w:p>
        </w:tc>
        <w:tc>
          <w:tcPr>
            <w:tcW w:type="dxa" w:w="7260"/>
            <w:tcMar>
              <w:top w:type="dxa" w:w="90"/>
              <w:left w:type="dxa" w:w="120"/>
              <w:bottom w:type="dxa" w:w="90"/>
              <w:right w:type="dxa" w:w="120"/>
            </w:tcMar>
            <w:vAlign w:val="center"/>
          </w:tcPr>
          <w:p>
            <w:pPr>
              <w:spacing w:after="0"/>
            </w:pPr>
            <w:r>
              <w:rPr>
                <w:sz w:val="20"/>
                <w:szCs w:val="20"/>
              </w:rPr>
              <w:t xml:space="preserve">Audisi berlanjut dengan format baru. Pada 2024, 11 dari 1.966 peserta menerima beasiswa; pada 2025, 9 atlet terpilih dari 1.729 peserta di Kudus.</w:t>
            </w:r>
          </w:p>
        </w:tc>
      </w:tr>
    </w:tbl>
    <w:p>
      <w:r>
        <w:t xml:space="preserve">Dibaca lewat teori, inilah corporate accountability yang bekerja: tekanan masyarakat sipil memaksa korporasi merespons — tanpa melewati satu pun kotak suara. Isi kesepakatannya pun soal transparansi: memisahkan secara kasatmata mana pembinaan dan mana promosi.</w:t>
      </w:r>
    </w:p>
    <w:p>
      <w:pPr>
        <w:pStyle w:val="Heading2"/>
      </w:pPr>
      <w:r>
        <w:t xml:space="preserve">5.5 Sintesis: tiga kerangka, satu kasus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5060"/>
      </w:tblGrid>
      <w:tr>
        <w:trPr>
          <w:tblHeader/>
        </w:trPr>
        <w:tc>
          <w:tcPr>
            <w:tcW w:type="dxa" w:w="2100"/>
            <w:shd w:fill="6B2233" w:val="clear"/>
            <w:tcMar>
              <w:top w:type="dxa" w:w="90"/>
              <w:left w:type="dxa" w:w="120"/>
              <w:bottom w:type="dxa" w:w="90"/>
              <w:right w:type="dxa" w:w="120"/>
            </w:tcMar>
            <w:vAlign w:val="center"/>
          </w:tcPr>
          <w:p>
            <w:pPr>
              <w:spacing w:after="0"/>
            </w:pPr>
            <w:r>
              <w:rPr>
                <w:b/>
                <w:bCs/>
                <w:color w:val="FFFFFF"/>
                <w:sz w:val="20"/>
                <w:szCs w:val="20"/>
              </w:rPr>
              <w:t xml:space="preserve">Kerangka</w:t>
            </w:r>
          </w:p>
        </w:tc>
        <w:tc>
          <w:tcPr>
            <w:tcW w:type="dxa" w:w="2200"/>
            <w:shd w:fill="6B2233" w:val="clear"/>
            <w:tcMar>
              <w:top w:type="dxa" w:w="90"/>
              <w:left w:type="dxa" w:w="120"/>
              <w:bottom w:type="dxa" w:w="90"/>
              <w:right w:type="dxa" w:w="120"/>
            </w:tcMar>
            <w:vAlign w:val="center"/>
          </w:tcPr>
          <w:p>
            <w:pPr>
              <w:spacing w:after="0"/>
            </w:pPr>
            <w:r>
              <w:rPr>
                <w:b/>
                <w:bCs/>
                <w:color w:val="FFFFFF"/>
                <w:sz w:val="20"/>
                <w:szCs w:val="20"/>
              </w:rPr>
              <w:t xml:space="preserve">Pertanyaannya</w:t>
            </w:r>
          </w:p>
        </w:tc>
        <w:tc>
          <w:tcPr>
            <w:tcW w:type="dxa" w:w="5060"/>
            <w:shd w:fill="6B2233" w:val="clear"/>
            <w:tcMar>
              <w:top w:type="dxa" w:w="90"/>
              <w:left w:type="dxa" w:w="120"/>
              <w:bottom w:type="dxa" w:w="90"/>
              <w:right w:type="dxa" w:w="120"/>
            </w:tcMar>
            <w:vAlign w:val="center"/>
          </w:tcPr>
          <w:p>
            <w:pPr>
              <w:spacing w:after="0"/>
            </w:pPr>
            <w:r>
              <w:rPr>
                <w:b/>
                <w:bCs/>
                <w:color w:val="FFFFFF"/>
                <w:sz w:val="20"/>
                <w:szCs w:val="20"/>
              </w:rPr>
              <w:t xml:space="preserve">Jawabannya pada kasus Djarum</w:t>
            </w:r>
          </w:p>
        </w:tc>
      </w:tr>
      <w:tr>
        <w:tc>
          <w:tcPr>
            <w:tcW w:type="dxa" w:w="2100"/>
            <w:tcMar>
              <w:top w:type="dxa" w:w="90"/>
              <w:left w:type="dxa" w:w="120"/>
              <w:bottom w:type="dxa" w:w="90"/>
              <w:right w:type="dxa" w:w="120"/>
            </w:tcMar>
            <w:vAlign w:val="center"/>
          </w:tcPr>
          <w:p>
            <w:pPr>
              <w:spacing w:after="0"/>
            </w:pPr>
            <w:r>
              <w:rPr>
                <w:sz w:val="20"/>
                <w:szCs w:val="20"/>
              </w:rPr>
              <w:t xml:space="preserve">CSR</w:t>
            </w:r>
          </w:p>
        </w:tc>
        <w:tc>
          <w:tcPr>
            <w:tcW w:type="dxa" w:w="2200"/>
            <w:tcMar>
              <w:top w:type="dxa" w:w="90"/>
              <w:left w:type="dxa" w:w="120"/>
              <w:bottom w:type="dxa" w:w="90"/>
              <w:right w:type="dxa" w:w="120"/>
            </w:tcMar>
            <w:vAlign w:val="center"/>
          </w:tcPr>
          <w:p>
            <w:pPr>
              <w:spacing w:after="0"/>
            </w:pPr>
            <w:r>
              <w:rPr>
                <w:sz w:val="20"/>
                <w:szCs w:val="20"/>
              </w:rPr>
              <w:t xml:space="preserve">APA tanggung jawabnya?</w:t>
            </w:r>
          </w:p>
        </w:tc>
        <w:tc>
          <w:tcPr>
            <w:tcW w:type="dxa" w:w="5060"/>
            <w:tcMar>
              <w:top w:type="dxa" w:w="90"/>
              <w:left w:type="dxa" w:w="120"/>
              <w:bottom w:type="dxa" w:w="90"/>
              <w:right w:type="dxa" w:w="120"/>
            </w:tcMar>
            <w:vAlign w:val="center"/>
          </w:tcPr>
          <w:p>
            <w:pPr>
              <w:spacing w:after="0"/>
            </w:pPr>
            <w:r>
              <w:rPr>
                <w:sz w:val="20"/>
                <w:szCs w:val="20"/>
              </w:rPr>
              <w:t xml:space="preserve">Kuat di lapis ekonomi, hukum, dan filantropis; rapuh di lapis etis. Program sebagian besar masih bolt-on.</w:t>
            </w:r>
          </w:p>
        </w:tc>
      </w:tr>
      <w:tr>
        <w:tc>
          <w:tcPr>
            <w:tcW w:type="dxa" w:w="2100"/>
            <w:tcMar>
              <w:top w:type="dxa" w:w="90"/>
              <w:left w:type="dxa" w:w="120"/>
              <w:bottom w:type="dxa" w:w="90"/>
              <w:right w:type="dxa" w:w="120"/>
            </w:tcMar>
            <w:vAlign w:val="center"/>
          </w:tcPr>
          <w:p>
            <w:pPr>
              <w:spacing w:after="0"/>
            </w:pPr>
            <w:r>
              <w:rPr>
                <w:sz w:val="20"/>
                <w:szCs w:val="20"/>
              </w:rPr>
              <w:t xml:space="preserve">Stakeholder</w:t>
            </w:r>
          </w:p>
        </w:tc>
        <w:tc>
          <w:tcPr>
            <w:tcW w:type="dxa" w:w="2200"/>
            <w:tcMar>
              <w:top w:type="dxa" w:w="90"/>
              <w:left w:type="dxa" w:w="120"/>
              <w:bottom w:type="dxa" w:w="90"/>
              <w:right w:type="dxa" w:w="120"/>
            </w:tcMar>
            <w:vAlign w:val="center"/>
          </w:tcPr>
          <w:p>
            <w:pPr>
              <w:spacing w:after="0"/>
            </w:pPr>
            <w:r>
              <w:rPr>
                <w:sz w:val="20"/>
                <w:szCs w:val="20"/>
              </w:rPr>
              <w:t xml:space="preserve">KEPADA SIAPA?</w:t>
            </w:r>
          </w:p>
        </w:tc>
        <w:tc>
          <w:tcPr>
            <w:tcW w:type="dxa" w:w="5060"/>
            <w:tcMar>
              <w:top w:type="dxa" w:w="90"/>
              <w:left w:type="dxa" w:w="120"/>
              <w:bottom w:type="dxa" w:w="90"/>
              <w:right w:type="dxa" w:w="120"/>
            </w:tcMar>
            <w:vAlign w:val="center"/>
          </w:tcPr>
          <w:p>
            <w:pPr>
              <w:spacing w:after="0"/>
            </w:pPr>
            <w:r>
              <w:rPr>
                <w:sz w:val="20"/>
                <w:szCs w:val="20"/>
              </w:rPr>
              <w:t xml:space="preserve">Klaim antar-kelompok saling bertentangan. Anak-anak peserta audisi adalah stakeholder sah meski tanpa kontrak.</w:t>
            </w:r>
          </w:p>
        </w:tc>
      </w:tr>
      <w:tr>
        <w:tc>
          <w:tcPr>
            <w:tcW w:type="dxa" w:w="2100"/>
            <w:tcMar>
              <w:top w:type="dxa" w:w="90"/>
              <w:left w:type="dxa" w:w="120"/>
              <w:bottom w:type="dxa" w:w="90"/>
              <w:right w:type="dxa" w:w="120"/>
            </w:tcMar>
            <w:vAlign w:val="center"/>
          </w:tcPr>
          <w:p>
            <w:pPr>
              <w:spacing w:after="0"/>
            </w:pPr>
            <w:r>
              <w:rPr>
                <w:sz w:val="20"/>
                <w:szCs w:val="20"/>
              </w:rPr>
              <w:t xml:space="preserve">Corporate citizenship</w:t>
            </w:r>
          </w:p>
        </w:tc>
        <w:tc>
          <w:tcPr>
            <w:tcW w:type="dxa" w:w="2200"/>
            <w:tcMar>
              <w:top w:type="dxa" w:w="90"/>
              <w:left w:type="dxa" w:w="120"/>
              <w:bottom w:type="dxa" w:w="90"/>
              <w:right w:type="dxa" w:w="120"/>
            </w:tcMar>
            <w:vAlign w:val="center"/>
          </w:tcPr>
          <w:p>
            <w:pPr>
              <w:spacing w:after="0"/>
            </w:pPr>
            <w:r>
              <w:rPr>
                <w:sz w:val="20"/>
                <w:szCs w:val="20"/>
              </w:rPr>
              <w:t xml:space="preserve">DENGAN KUASA APA?</w:t>
            </w:r>
          </w:p>
        </w:tc>
        <w:tc>
          <w:tcPr>
            <w:tcW w:type="dxa" w:w="5060"/>
            <w:tcMar>
              <w:top w:type="dxa" w:w="90"/>
              <w:left w:type="dxa" w:w="120"/>
              <w:bottom w:type="dxa" w:w="90"/>
              <w:right w:type="dxa" w:w="120"/>
            </w:tcMar>
            <w:vAlign w:val="center"/>
          </w:tcPr>
          <w:p>
            <w:pPr>
              <w:spacing w:after="0"/>
            </w:pPr>
            <w:r>
              <w:rPr>
                <w:sz w:val="20"/>
                <w:szCs w:val="20"/>
              </w:rPr>
              <w:t xml:space="preserve">Djarum menjalankan peran seperti pemerintah di bidang pendidikan, kesehatan, olahraga, dan lingkungan — maka tuntutan akuntabilitas dan transparansi setara aktor publik adalah konsekuensi logis.</w:t>
            </w:r>
          </w:p>
        </w:tc>
      </w:tr>
    </w:tbl>
    <w:p>
      <w:pPr>
        <w:pStyle w:val="Heading1"/>
      </w:pPr>
      <w:r>
        <w:t xml:space="preserve">Kesimpulan dan Rekomendasi</w:t>
      </w:r>
    </w:p>
    <w:p>
      <w:pPr>
        <w:pStyle w:val="Heading2"/>
      </w:pPr>
      <w:r>
        <w:t xml:space="preserve">Kesimpulan</w:t>
      </w:r>
    </w:p>
    <w:p>
      <w:pPr>
        <w:pStyle w:val="ListParagraph"/>
        <w:numPr>
          <w:ilvl w:val="0"/>
          <w:numId w:val="6"/>
        </w:numPr>
      </w:pPr>
      <w:r>
        <w:t xml:space="preserve">Korporasi memiliki tanggung jawab moral yang melampaui tanggung jawab orang-orang di dalamnya — karena ia punya identitas hukum, kemampuan memutuskan, budaya, dan identitas fungsional sendiri.</w:t>
      </w:r>
    </w:p>
    <w:p>
      <w:pPr>
        <w:pStyle w:val="ListParagraph"/>
        <w:numPr>
          <w:ilvl w:val="0"/>
          <w:numId w:val="6"/>
        </w:numPr>
      </w:pPr>
      <w:r>
        <w:t xml:space="preserve">CSR Djarum kuat di lapis yang diwajibkan dan diinginkan, tetapi rapuh di lapis yang diharapkan (etis). Kasus ini memperlihatkan kelemahan piramida Carroll saat dua lapis berbenturan.</w:t>
      </w:r>
    </w:p>
    <w:p>
      <w:pPr>
        <w:pStyle w:val="ListParagraph"/>
        <w:numPr>
          <w:ilvl w:val="0"/>
          <w:numId w:val="6"/>
        </w:numPr>
      </w:pPr>
      <w:r>
        <w:t xml:space="preserve">Sebagian besar program masih bolt-on; bergeser ke built-in menuntut integrasi dengan bisnis inti dan rantai nilai, bukan sekadar membagikan sebagian laba.</w:t>
      </w:r>
    </w:p>
    <w:p>
      <w:pPr>
        <w:pStyle w:val="ListParagraph"/>
        <w:numPr>
          <w:ilvl w:val="0"/>
          <w:numId w:val="6"/>
        </w:numPr>
      </w:pPr>
      <w:r>
        <w:t xml:space="preserve">Lewat principle of corporate effect, anak-anak peserta audisi adalah stakeholder yang sah meski tidak terikat kontrak apa pun.</w:t>
      </w:r>
    </w:p>
    <w:p>
      <w:pPr>
        <w:pStyle w:val="ListParagraph"/>
        <w:numPr>
          <w:ilvl w:val="0"/>
          <w:numId w:val="6"/>
        </w:numPr>
      </w:pPr>
      <w:r>
        <w:t xml:space="preserve">Sebagai aktor politik de facto, wajar bila Djarum dituntut akuntabel dan transparan selayaknya aktor publik.</w:t>
      </w:r>
    </w:p>
    <w:p>
      <w:pPr>
        <w:pStyle w:val="Heading2"/>
      </w:pPr>
      <w:r>
        <w:t xml:space="preserve">Rekomendasi</w:t>
      </w:r>
    </w:p>
    <w:p>
      <w:pPr>
        <w:pStyle w:val="ListParagraph"/>
        <w:numPr>
          <w:ilvl w:val="0"/>
          <w:numId w:val="7"/>
        </w:numPr>
      </w:pPr>
      <w:r>
        <w:rPr>
          <w:b/>
          <w:bCs/>
        </w:rPr>
        <w:t xml:space="preserve">Pisahkan identitas program dari merek produk. </w:t>
      </w:r>
      <w:r>
        <w:t xml:space="preserve">Lanjutkan prinsip kesepakatan 2019: kegiatan sosial tanpa logo dan citra merek tembakau, terutama yang melibatkan anak.</w:t>
      </w:r>
    </w:p>
    <w:p>
      <w:pPr>
        <w:pStyle w:val="ListParagraph"/>
        <w:numPr>
          <w:ilvl w:val="0"/>
          <w:numId w:val="7"/>
        </w:numPr>
      </w:pPr>
      <w:r>
        <w:rPr>
          <w:b/>
          <w:bCs/>
        </w:rPr>
        <w:t xml:space="preserve">Geser CSR dari bolt-on ke built-in. </w:t>
      </w:r>
      <w:r>
        <w:t xml:space="preserve">Prioritaskan program yang menyatu dengan rantai nilai: kesejahteraan petani tembakau dan cengkeh, keselamatan kerja, penyiapan transisi ekonomi Kudus.</w:t>
      </w:r>
    </w:p>
    <w:p>
      <w:pPr>
        <w:pStyle w:val="ListParagraph"/>
        <w:numPr>
          <w:ilvl w:val="0"/>
          <w:numId w:val="7"/>
        </w:numPr>
      </w:pPr>
      <w:r>
        <w:rPr>
          <w:b/>
          <w:bCs/>
        </w:rPr>
        <w:t xml:space="preserve">Perkuat transparansi pelaporan. </w:t>
      </w:r>
      <w:r>
        <w:t xml:space="preserve">Susun laporan keberlanjutan yang memenuhi disclosure, clarity, accuracy — termasuk memisahkan belanja sosial dari belanja pemasaran agar publik bisa menilai batasnya.</w:t>
      </w:r>
    </w:p>
    <w:p>
      <w:pPr>
        <w:pStyle w:val="ListParagraph"/>
        <w:numPr>
          <w:ilvl w:val="0"/>
          <w:numId w:val="7"/>
        </w:numPr>
      </w:pPr>
      <w:r>
        <w:rPr>
          <w:b/>
          <w:bCs/>
        </w:rPr>
        <w:t xml:space="preserve">Lembagakan dialog stakeholder. </w:t>
      </w:r>
      <w:r>
        <w:t xml:space="preserve">Bangun forum rutin dengan regulator, masyarakat sipil, dan komunitas terdampak — jangan menunggu krisis untuk bermediasi.</w:t>
      </w:r>
    </w:p>
    <w:p>
      <w:pPr>
        <w:pStyle w:val="ListParagraph"/>
        <w:numPr>
          <w:ilvl w:val="0"/>
          <w:numId w:val="7"/>
        </w:numPr>
      </w:pPr>
      <w:r>
        <w:rPr>
          <w:b/>
          <w:bCs/>
        </w:rPr>
        <w:t xml:space="preserve">Untuk pembuat kebijakan: </w:t>
      </w:r>
      <w:r>
        <w:t xml:space="preserve">tutup celah CSR dalam revisi PP No. 109/2012, supaya batas antara filantropi dan promosi produk tembakau tegas dan bisa ditegakkan.</w:t>
      </w:r>
    </w:p>
    <w:p>
      <w:pPr>
        <w:pStyle w:val="Heading1"/>
        <w:pageBreakBefore/>
      </w:pPr>
      <w:r>
        <w:t xml:space="preserve">Glosarium Istilah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2E3192" w:val="clear"/>
            <w:tcMar>
              <w:top w:type="dxa" w:w="90"/>
              <w:left w:type="dxa" w:w="120"/>
              <w:bottom w:type="dxa" w:w="90"/>
              <w:right w:type="dxa" w:w="120"/>
            </w:tcMar>
            <w:vAlign w:val="center"/>
          </w:tcPr>
          <w:p>
            <w:pPr>
              <w:spacing w:after="0"/>
            </w:pPr>
            <w:r>
              <w:rPr>
                <w:b/>
                <w:bCs/>
                <w:color w:val="FFFFFF"/>
                <w:sz w:val="20"/>
                <w:szCs w:val="20"/>
              </w:rPr>
              <w:t xml:space="preserve">Istilah</w:t>
            </w:r>
          </w:p>
        </w:tc>
        <w:tc>
          <w:tcPr>
            <w:tcW w:type="dxa" w:w="6560"/>
            <w:shd w:fill="2E3192" w:val="clear"/>
            <w:tcMar>
              <w:top w:type="dxa" w:w="90"/>
              <w:left w:type="dxa" w:w="120"/>
              <w:bottom w:type="dxa" w:w="90"/>
              <w:right w:type="dxa" w:w="120"/>
            </w:tcMar>
            <w:vAlign w:val="center"/>
          </w:tcPr>
          <w:p>
            <w:pPr>
              <w:spacing w:after="0"/>
            </w:pPr>
            <w:r>
              <w:rPr>
                <w:b/>
                <w:bCs/>
                <w:color w:val="FFFFFF"/>
                <w:sz w:val="20"/>
                <w:szCs w:val="20"/>
              </w:rPr>
              <w:t xml:space="preserve">Arti sederhana</w:t>
            </w:r>
          </w:p>
        </w:tc>
      </w:tr>
      <w:tr>
        <w:tc>
          <w:tcPr>
            <w:tcW w:type="dxa" w:w="2800"/>
            <w:tcMar>
              <w:top w:type="dxa" w:w="90"/>
              <w:left w:type="dxa" w:w="120"/>
              <w:bottom w:type="dxa" w:w="90"/>
              <w:right w:type="dxa" w:w="120"/>
            </w:tcMar>
            <w:vAlign w:val="center"/>
          </w:tcPr>
          <w:p>
            <w:pPr>
              <w:spacing w:after="0"/>
            </w:pPr>
            <w:r>
              <w:rPr>
                <w:sz w:val="20"/>
                <w:szCs w:val="20"/>
              </w:rPr>
              <w:t xml:space="preserve">Artificial person</w:t>
            </w:r>
          </w:p>
        </w:tc>
        <w:tc>
          <w:tcPr>
            <w:tcW w:type="dxa" w:w="6560"/>
            <w:tcMar>
              <w:top w:type="dxa" w:w="90"/>
              <w:left w:type="dxa" w:w="120"/>
              <w:bottom w:type="dxa" w:w="90"/>
              <w:right w:type="dxa" w:w="120"/>
            </w:tcMar>
            <w:vAlign w:val="center"/>
          </w:tcPr>
          <w:p>
            <w:pPr>
              <w:spacing w:after="0"/>
            </w:pPr>
            <w:r>
              <w:rPr>
                <w:sz w:val="20"/>
                <w:szCs w:val="20"/>
              </w:rPr>
              <w:t xml:space="preserve">Status hukum korporasi sebagai "orang buatan": punya hak dan kewajiban layaknya warga negara.</w:t>
            </w:r>
          </w:p>
        </w:tc>
      </w:tr>
      <w:tr>
        <w:tc>
          <w:tcPr>
            <w:tcW w:type="dxa" w:w="2800"/>
            <w:tcMar>
              <w:top w:type="dxa" w:w="90"/>
              <w:left w:type="dxa" w:w="120"/>
              <w:bottom w:type="dxa" w:w="90"/>
              <w:right w:type="dxa" w:w="120"/>
            </w:tcMar>
            <w:vAlign w:val="center"/>
          </w:tcPr>
          <w:p>
            <w:pPr>
              <w:spacing w:after="0"/>
            </w:pPr>
            <w:r>
              <w:rPr>
                <w:sz w:val="20"/>
                <w:szCs w:val="20"/>
              </w:rPr>
              <w:t xml:space="preserve">Limited liability</w:t>
            </w:r>
          </w:p>
        </w:tc>
        <w:tc>
          <w:tcPr>
            <w:tcW w:type="dxa" w:w="6560"/>
            <w:tcMar>
              <w:top w:type="dxa" w:w="90"/>
              <w:left w:type="dxa" w:w="120"/>
              <w:bottom w:type="dxa" w:w="90"/>
              <w:right w:type="dxa" w:w="120"/>
            </w:tcMar>
            <w:vAlign w:val="center"/>
          </w:tcPr>
          <w:p>
            <w:pPr>
              <w:spacing w:after="0"/>
            </w:pPr>
            <w:r>
              <w:rPr>
                <w:sz w:val="20"/>
                <w:szCs w:val="20"/>
              </w:rPr>
              <w:t xml:space="preserve">Tanggung jawab terbatas: pemegang saham tidak ikut menanggung utang atau kerugian perusahaan.</w:t>
            </w:r>
          </w:p>
        </w:tc>
      </w:tr>
      <w:tr>
        <w:tc>
          <w:tcPr>
            <w:tcW w:type="dxa" w:w="2800"/>
            <w:tcMar>
              <w:top w:type="dxa" w:w="90"/>
              <w:left w:type="dxa" w:w="120"/>
              <w:bottom w:type="dxa" w:w="90"/>
              <w:right w:type="dxa" w:w="120"/>
            </w:tcMar>
            <w:vAlign w:val="center"/>
          </w:tcPr>
          <w:p>
            <w:pPr>
              <w:spacing w:after="0"/>
            </w:pPr>
            <w:r>
              <w:rPr>
                <w:sz w:val="20"/>
                <w:szCs w:val="20"/>
              </w:rPr>
              <w:t xml:space="preserve">Fiduciary responsibility</w:t>
            </w:r>
          </w:p>
        </w:tc>
        <w:tc>
          <w:tcPr>
            <w:tcW w:type="dxa" w:w="6560"/>
            <w:tcMar>
              <w:top w:type="dxa" w:w="90"/>
              <w:left w:type="dxa" w:w="120"/>
              <w:bottom w:type="dxa" w:w="90"/>
              <w:right w:type="dxa" w:w="120"/>
            </w:tcMar>
            <w:vAlign w:val="center"/>
          </w:tcPr>
          <w:p>
            <w:pPr>
              <w:spacing w:after="0"/>
            </w:pPr>
            <w:r>
              <w:rPr>
                <w:sz w:val="20"/>
                <w:szCs w:val="20"/>
              </w:rPr>
              <w:t xml:space="preserve">Kewajiban pengurus mengelola perusahaan demi kepentingan pemegang saham yang menitipkan uangnya.</w:t>
            </w:r>
          </w:p>
        </w:tc>
      </w:tr>
      <w:tr>
        <w:tc>
          <w:tcPr>
            <w:tcW w:type="dxa" w:w="2800"/>
            <w:tcMar>
              <w:top w:type="dxa" w:w="90"/>
              <w:left w:type="dxa" w:w="120"/>
              <w:bottom w:type="dxa" w:w="90"/>
              <w:right w:type="dxa" w:w="120"/>
            </w:tcMar>
            <w:vAlign w:val="center"/>
          </w:tcPr>
          <w:p>
            <w:pPr>
              <w:spacing w:after="0"/>
            </w:pPr>
            <w:r>
              <w:rPr>
                <w:sz w:val="20"/>
                <w:szCs w:val="20"/>
              </w:rPr>
              <w:t xml:space="preserve">CSR</w:t>
            </w:r>
          </w:p>
        </w:tc>
        <w:tc>
          <w:tcPr>
            <w:tcW w:type="dxa" w:w="6560"/>
            <w:tcMar>
              <w:top w:type="dxa" w:w="90"/>
              <w:left w:type="dxa" w:w="120"/>
              <w:bottom w:type="dxa" w:w="90"/>
              <w:right w:type="dxa" w:w="120"/>
            </w:tcMar>
            <w:vAlign w:val="center"/>
          </w:tcPr>
          <w:p>
            <w:pPr>
              <w:spacing w:after="0"/>
            </w:pPr>
            <w:r>
              <w:rPr>
                <w:sz w:val="20"/>
                <w:szCs w:val="20"/>
              </w:rPr>
              <w:t xml:space="preserve">Upaya perusahaan memenuhi tuntutan ekonomi, hukum, etis, dan filantropis masyarakat.</w:t>
            </w:r>
          </w:p>
        </w:tc>
      </w:tr>
      <w:tr>
        <w:tc>
          <w:tcPr>
            <w:tcW w:type="dxa" w:w="2800"/>
            <w:tcMar>
              <w:top w:type="dxa" w:w="90"/>
              <w:left w:type="dxa" w:w="120"/>
              <w:bottom w:type="dxa" w:w="90"/>
              <w:right w:type="dxa" w:w="120"/>
            </w:tcMar>
            <w:vAlign w:val="center"/>
          </w:tcPr>
          <w:p>
            <w:pPr>
              <w:spacing w:after="0"/>
            </w:pPr>
            <w:r>
              <w:rPr>
                <w:sz w:val="20"/>
                <w:szCs w:val="20"/>
              </w:rPr>
              <w:t xml:space="preserve">Enlightened self-interest</w:t>
            </w:r>
          </w:p>
        </w:tc>
        <w:tc>
          <w:tcPr>
            <w:tcW w:type="dxa" w:w="6560"/>
            <w:tcMar>
              <w:top w:type="dxa" w:w="90"/>
              <w:left w:type="dxa" w:w="120"/>
              <w:bottom w:type="dxa" w:w="90"/>
              <w:right w:type="dxa" w:w="120"/>
            </w:tcMar>
            <w:vAlign w:val="center"/>
          </w:tcPr>
          <w:p>
            <w:pPr>
              <w:spacing w:after="0"/>
            </w:pPr>
            <w:r>
              <w:rPr>
                <w:sz w:val="20"/>
                <w:szCs w:val="20"/>
              </w:rPr>
              <w:t xml:space="preserve">Berbuat baik karena hal itu sejalan dengan kepentingan sendiri.</w:t>
            </w:r>
          </w:p>
        </w:tc>
      </w:tr>
      <w:tr>
        <w:tc>
          <w:tcPr>
            <w:tcW w:type="dxa" w:w="2800"/>
            <w:tcMar>
              <w:top w:type="dxa" w:w="90"/>
              <w:left w:type="dxa" w:w="120"/>
              <w:bottom w:type="dxa" w:w="90"/>
              <w:right w:type="dxa" w:w="120"/>
            </w:tcMar>
            <w:vAlign w:val="center"/>
          </w:tcPr>
          <w:p>
            <w:pPr>
              <w:spacing w:after="0"/>
            </w:pPr>
            <w:r>
              <w:rPr>
                <w:sz w:val="20"/>
                <w:szCs w:val="20"/>
              </w:rPr>
              <w:t xml:space="preserve">Eksternalitas</w:t>
            </w:r>
          </w:p>
        </w:tc>
        <w:tc>
          <w:tcPr>
            <w:tcW w:type="dxa" w:w="6560"/>
            <w:tcMar>
              <w:top w:type="dxa" w:w="90"/>
              <w:left w:type="dxa" w:w="120"/>
              <w:bottom w:type="dxa" w:w="90"/>
              <w:right w:type="dxa" w:w="120"/>
            </w:tcMar>
            <w:vAlign w:val="center"/>
          </w:tcPr>
          <w:p>
            <w:pPr>
              <w:spacing w:after="0"/>
            </w:pPr>
            <w:r>
              <w:rPr>
                <w:sz w:val="20"/>
                <w:szCs w:val="20"/>
              </w:rPr>
              <w:t xml:space="preserve">Dampak kegiatan bisnis yang ditanggung pihak di luar transaksi, misalnya polusi.</w:t>
            </w:r>
          </w:p>
        </w:tc>
      </w:tr>
      <w:tr>
        <w:tc>
          <w:tcPr>
            <w:tcW w:type="dxa" w:w="2800"/>
            <w:tcMar>
              <w:top w:type="dxa" w:w="90"/>
              <w:left w:type="dxa" w:w="120"/>
              <w:bottom w:type="dxa" w:w="90"/>
              <w:right w:type="dxa" w:w="120"/>
            </w:tcMar>
            <w:vAlign w:val="center"/>
          </w:tcPr>
          <w:p>
            <w:pPr>
              <w:spacing w:after="0"/>
            </w:pPr>
            <w:r>
              <w:rPr>
                <w:sz w:val="20"/>
                <w:szCs w:val="20"/>
              </w:rPr>
              <w:t xml:space="preserve">Social licence to operate</w:t>
            </w:r>
          </w:p>
        </w:tc>
        <w:tc>
          <w:tcPr>
            <w:tcW w:type="dxa" w:w="6560"/>
            <w:tcMar>
              <w:top w:type="dxa" w:w="90"/>
              <w:left w:type="dxa" w:w="120"/>
              <w:bottom w:type="dxa" w:w="90"/>
              <w:right w:type="dxa" w:w="120"/>
            </w:tcMar>
            <w:vAlign w:val="center"/>
          </w:tcPr>
          <w:p>
            <w:pPr>
              <w:spacing w:after="0"/>
            </w:pPr>
            <w:r>
              <w:rPr>
                <w:sz w:val="20"/>
                <w:szCs w:val="20"/>
              </w:rPr>
              <w:t xml:space="preserve">"Restu" masyarakat, karyawan, dan pemerintah yang membuat perusahaan bisa terus beroperasi.</w:t>
            </w:r>
          </w:p>
        </w:tc>
      </w:tr>
      <w:tr>
        <w:tc>
          <w:tcPr>
            <w:tcW w:type="dxa" w:w="2800"/>
            <w:tcMar>
              <w:top w:type="dxa" w:w="90"/>
              <w:left w:type="dxa" w:w="120"/>
              <w:bottom w:type="dxa" w:w="90"/>
              <w:right w:type="dxa" w:w="120"/>
            </w:tcMar>
            <w:vAlign w:val="center"/>
          </w:tcPr>
          <w:p>
            <w:pPr>
              <w:spacing w:after="0"/>
            </w:pPr>
            <w:r>
              <w:rPr>
                <w:sz w:val="20"/>
                <w:szCs w:val="20"/>
              </w:rPr>
              <w:t xml:space="preserve">Bolt-on vs built-in</w:t>
            </w:r>
          </w:p>
        </w:tc>
        <w:tc>
          <w:tcPr>
            <w:tcW w:type="dxa" w:w="6560"/>
            <w:tcMar>
              <w:top w:type="dxa" w:w="90"/>
              <w:left w:type="dxa" w:w="120"/>
              <w:bottom w:type="dxa" w:w="90"/>
              <w:right w:type="dxa" w:w="120"/>
            </w:tcMar>
            <w:vAlign w:val="center"/>
          </w:tcPr>
          <w:p>
            <w:pPr>
              <w:spacing w:after="0"/>
            </w:pPr>
            <w:r>
              <w:rPr>
                <w:sz w:val="20"/>
                <w:szCs w:val="20"/>
              </w:rPr>
              <w:t xml:space="preserve">CSR "ditempelkan" di luar bisnis inti vs CSR "dibangun ke dalam" bisnis inti.</w:t>
            </w:r>
          </w:p>
        </w:tc>
      </w:tr>
      <w:tr>
        <w:tc>
          <w:tcPr>
            <w:tcW w:type="dxa" w:w="2800"/>
            <w:tcMar>
              <w:top w:type="dxa" w:w="90"/>
              <w:left w:type="dxa" w:w="120"/>
              <w:bottom w:type="dxa" w:w="90"/>
              <w:right w:type="dxa" w:w="120"/>
            </w:tcMar>
            <w:vAlign w:val="center"/>
          </w:tcPr>
          <w:p>
            <w:pPr>
              <w:spacing w:after="0"/>
            </w:pPr>
            <w:r>
              <w:rPr>
                <w:sz w:val="20"/>
                <w:szCs w:val="20"/>
              </w:rPr>
              <w:t xml:space="preserve">Corporate Social Performance</w:t>
            </w:r>
          </w:p>
        </w:tc>
        <w:tc>
          <w:tcPr>
            <w:tcW w:type="dxa" w:w="6560"/>
            <w:tcMar>
              <w:top w:type="dxa" w:w="90"/>
              <w:left w:type="dxa" w:w="120"/>
              <w:bottom w:type="dxa" w:w="90"/>
              <w:right w:type="dxa" w:w="120"/>
            </w:tcMar>
            <w:vAlign w:val="center"/>
          </w:tcPr>
          <w:p>
            <w:pPr>
              <w:spacing w:after="0"/>
            </w:pPr>
            <w:r>
              <w:rPr>
                <w:sz w:val="20"/>
                <w:szCs w:val="20"/>
              </w:rPr>
              <w:t xml:space="preserve">Cara mengukur hasil CSR: prinsip, proses, dan hasil (kebijakan, program, dampak).</w:t>
            </w:r>
          </w:p>
        </w:tc>
      </w:tr>
      <w:tr>
        <w:tc>
          <w:tcPr>
            <w:tcW w:type="dxa" w:w="2800"/>
            <w:tcMar>
              <w:top w:type="dxa" w:w="90"/>
              <w:left w:type="dxa" w:w="120"/>
              <w:bottom w:type="dxa" w:w="90"/>
              <w:right w:type="dxa" w:w="120"/>
            </w:tcMar>
            <w:vAlign w:val="center"/>
          </w:tcPr>
          <w:p>
            <w:pPr>
              <w:spacing w:after="0"/>
            </w:pPr>
            <w:r>
              <w:rPr>
                <w:sz w:val="20"/>
                <w:szCs w:val="20"/>
              </w:rPr>
              <w:t xml:space="preserve">Stakeholder</w:t>
            </w:r>
          </w:p>
        </w:tc>
        <w:tc>
          <w:tcPr>
            <w:tcW w:type="dxa" w:w="6560"/>
            <w:tcMar>
              <w:top w:type="dxa" w:w="90"/>
              <w:left w:type="dxa" w:w="120"/>
              <w:bottom w:type="dxa" w:w="90"/>
              <w:right w:type="dxa" w:w="120"/>
            </w:tcMar>
            <w:vAlign w:val="center"/>
          </w:tcPr>
          <w:p>
            <w:pPr>
              <w:spacing w:after="0"/>
            </w:pPr>
            <w:r>
              <w:rPr>
                <w:sz w:val="20"/>
                <w:szCs w:val="20"/>
              </w:rPr>
              <w:t xml:space="preserve">Siapa pun yang dirugikan/diuntungkan oleh tindakan perusahaan, atau yang haknya wajib dihormati.</w:t>
            </w:r>
          </w:p>
        </w:tc>
      </w:tr>
      <w:tr>
        <w:tc>
          <w:tcPr>
            <w:tcW w:type="dxa" w:w="2800"/>
            <w:tcMar>
              <w:top w:type="dxa" w:w="90"/>
              <w:left w:type="dxa" w:w="120"/>
              <w:bottom w:type="dxa" w:w="90"/>
              <w:right w:type="dxa" w:w="120"/>
            </w:tcMar>
            <w:vAlign w:val="center"/>
          </w:tcPr>
          <w:p>
            <w:pPr>
              <w:spacing w:after="0"/>
            </w:pPr>
            <w:r>
              <w:rPr>
                <w:sz w:val="20"/>
                <w:szCs w:val="20"/>
              </w:rPr>
              <w:t xml:space="preserve">Agency problem</w:t>
            </w:r>
          </w:p>
        </w:tc>
        <w:tc>
          <w:tcPr>
            <w:tcW w:type="dxa" w:w="6560"/>
            <w:tcMar>
              <w:top w:type="dxa" w:w="90"/>
              <w:left w:type="dxa" w:w="120"/>
              <w:bottom w:type="dxa" w:w="90"/>
              <w:right w:type="dxa" w:w="120"/>
            </w:tcMar>
            <w:vAlign w:val="center"/>
          </w:tcPr>
          <w:p>
            <w:pPr>
              <w:spacing w:after="0"/>
            </w:pPr>
            <w:r>
              <w:rPr>
                <w:sz w:val="20"/>
                <w:szCs w:val="20"/>
              </w:rPr>
              <w:t xml:space="preserve">Masalah ketika pemegang saham bukan "pemilik sejati" yang peduli jangka panjang, melainkan spekulan harga saham.</w:t>
            </w:r>
          </w:p>
        </w:tc>
      </w:tr>
      <w:tr>
        <w:tc>
          <w:tcPr>
            <w:tcW w:type="dxa" w:w="2800"/>
            <w:tcMar>
              <w:top w:type="dxa" w:w="90"/>
              <w:left w:type="dxa" w:w="120"/>
              <w:bottom w:type="dxa" w:w="90"/>
              <w:right w:type="dxa" w:w="120"/>
            </w:tcMar>
            <w:vAlign w:val="center"/>
          </w:tcPr>
          <w:p>
            <w:pPr>
              <w:spacing w:after="0"/>
            </w:pPr>
            <w:r>
              <w:rPr>
                <w:sz w:val="20"/>
                <w:szCs w:val="20"/>
              </w:rPr>
              <w:t xml:space="preserve">Stakeholder democracy</w:t>
            </w:r>
          </w:p>
        </w:tc>
        <w:tc>
          <w:tcPr>
            <w:tcW w:type="dxa" w:w="6560"/>
            <w:tcMar>
              <w:top w:type="dxa" w:w="90"/>
              <w:left w:type="dxa" w:w="120"/>
              <w:bottom w:type="dxa" w:w="90"/>
              <w:right w:type="dxa" w:w="120"/>
            </w:tcMar>
            <w:vAlign w:val="center"/>
          </w:tcPr>
          <w:p>
            <w:pPr>
              <w:spacing w:after="0"/>
            </w:pPr>
            <w:r>
              <w:rPr>
                <w:sz w:val="20"/>
                <w:szCs w:val="20"/>
              </w:rPr>
              <w:t xml:space="preserve">Memberi stakeholder kesempatan ikut memengaruhi keputusan perusahaan.</w:t>
            </w:r>
          </w:p>
        </w:tc>
      </w:tr>
      <w:tr>
        <w:tc>
          <w:tcPr>
            <w:tcW w:type="dxa" w:w="2800"/>
            <w:tcMar>
              <w:top w:type="dxa" w:w="90"/>
              <w:left w:type="dxa" w:w="120"/>
              <w:bottom w:type="dxa" w:w="90"/>
              <w:right w:type="dxa" w:w="120"/>
            </w:tcMar>
            <w:vAlign w:val="center"/>
          </w:tcPr>
          <w:p>
            <w:pPr>
              <w:spacing w:after="0"/>
            </w:pPr>
            <w:r>
              <w:rPr>
                <w:sz w:val="20"/>
                <w:szCs w:val="20"/>
              </w:rPr>
              <w:t xml:space="preserve">Corporate citizenship</w:t>
            </w:r>
          </w:p>
        </w:tc>
        <w:tc>
          <w:tcPr>
            <w:tcW w:type="dxa" w:w="6560"/>
            <w:tcMar>
              <w:top w:type="dxa" w:w="90"/>
              <w:left w:type="dxa" w:w="120"/>
              <w:bottom w:type="dxa" w:w="90"/>
              <w:right w:type="dxa" w:w="120"/>
            </w:tcMar>
            <w:vAlign w:val="center"/>
          </w:tcPr>
          <w:p>
            <w:pPr>
              <w:spacing w:after="0"/>
            </w:pPr>
            <w:r>
              <w:rPr>
                <w:sz w:val="20"/>
                <w:szCs w:val="20"/>
              </w:rPr>
              <w:t xml:space="preserve">Peran korporasi dalam mengelola hak-hak kewarganegaraan individu.</w:t>
            </w:r>
          </w:p>
        </w:tc>
      </w:tr>
      <w:tr>
        <w:tc>
          <w:tcPr>
            <w:tcW w:type="dxa" w:w="2800"/>
            <w:tcMar>
              <w:top w:type="dxa" w:w="90"/>
              <w:left w:type="dxa" w:w="120"/>
              <w:bottom w:type="dxa" w:w="90"/>
              <w:right w:type="dxa" w:w="120"/>
            </w:tcMar>
            <w:vAlign w:val="center"/>
          </w:tcPr>
          <w:p>
            <w:pPr>
              <w:spacing w:after="0"/>
            </w:pPr>
            <w:r>
              <w:rPr>
                <w:sz w:val="20"/>
                <w:szCs w:val="20"/>
              </w:rPr>
              <w:t xml:space="preserve">De facto</w:t>
            </w:r>
          </w:p>
        </w:tc>
        <w:tc>
          <w:tcPr>
            <w:tcW w:type="dxa" w:w="6560"/>
            <w:tcMar>
              <w:top w:type="dxa" w:w="90"/>
              <w:left w:type="dxa" w:w="120"/>
              <w:bottom w:type="dxa" w:w="90"/>
              <w:right w:type="dxa" w:w="120"/>
            </w:tcMar>
            <w:vAlign w:val="center"/>
          </w:tcPr>
          <w:p>
            <w:pPr>
              <w:spacing w:after="0"/>
            </w:pPr>
            <w:r>
              <w:rPr>
                <w:sz w:val="20"/>
                <w:szCs w:val="20"/>
              </w:rPr>
              <w:t xml:space="preserve">"Secara nyata / dalam praktik", meskipun tidak resmi ditetapkan.</w:t>
            </w:r>
          </w:p>
        </w:tc>
      </w:tr>
      <w:tr>
        <w:tc>
          <w:tcPr>
            <w:tcW w:type="dxa" w:w="2800"/>
            <w:tcMar>
              <w:top w:type="dxa" w:w="90"/>
              <w:left w:type="dxa" w:w="120"/>
              <w:bottom w:type="dxa" w:w="90"/>
              <w:right w:type="dxa" w:w="120"/>
            </w:tcMar>
            <w:vAlign w:val="center"/>
          </w:tcPr>
          <w:p>
            <w:pPr>
              <w:spacing w:after="0"/>
            </w:pPr>
            <w:r>
              <w:rPr>
                <w:sz w:val="20"/>
                <w:szCs w:val="20"/>
              </w:rPr>
              <w:t xml:space="preserve">Corporate accountability</w:t>
            </w:r>
          </w:p>
        </w:tc>
        <w:tc>
          <w:tcPr>
            <w:tcW w:type="dxa" w:w="6560"/>
            <w:tcMar>
              <w:top w:type="dxa" w:w="90"/>
              <w:left w:type="dxa" w:w="120"/>
              <w:bottom w:type="dxa" w:w="90"/>
              <w:right w:type="dxa" w:w="120"/>
            </w:tcMar>
            <w:vAlign w:val="center"/>
          </w:tcPr>
          <w:p>
            <w:pPr>
              <w:spacing w:after="0"/>
            </w:pPr>
            <w:r>
              <w:rPr>
                <w:sz w:val="20"/>
                <w:szCs w:val="20"/>
              </w:rPr>
              <w:t xml:space="preserve">Kewajiban perusahaan mempertanggungjawabkan tindakannya: dikendalikan siapa, menjawab kepada siapa.</w:t>
            </w:r>
          </w:p>
        </w:tc>
      </w:tr>
      <w:tr>
        <w:tc>
          <w:tcPr>
            <w:tcW w:type="dxa" w:w="2800"/>
            <w:tcMar>
              <w:top w:type="dxa" w:w="90"/>
              <w:left w:type="dxa" w:w="120"/>
              <w:bottom w:type="dxa" w:w="90"/>
              <w:right w:type="dxa" w:w="120"/>
            </w:tcMar>
            <w:vAlign w:val="center"/>
          </w:tcPr>
          <w:p>
            <w:pPr>
              <w:spacing w:after="0"/>
            </w:pPr>
            <w:r>
              <w:rPr>
                <w:sz w:val="20"/>
                <w:szCs w:val="20"/>
              </w:rPr>
              <w:t xml:space="preserve">Corporate transparency</w:t>
            </w:r>
          </w:p>
        </w:tc>
        <w:tc>
          <w:tcPr>
            <w:tcW w:type="dxa" w:w="6560"/>
            <w:tcMar>
              <w:top w:type="dxa" w:w="90"/>
              <w:left w:type="dxa" w:w="120"/>
              <w:bottom w:type="dxa" w:w="90"/>
              <w:right w:type="dxa" w:w="120"/>
            </w:tcMar>
            <w:vAlign w:val="center"/>
          </w:tcPr>
          <w:p>
            <w:pPr>
              <w:spacing w:after="0"/>
            </w:pPr>
            <w:r>
              <w:rPr>
                <w:sz w:val="20"/>
                <w:szCs w:val="20"/>
              </w:rPr>
              <w:t xml:space="preserve">Sejauh mana keputusan dan dampak perusahaan dibuat terlihat: tersedia (disclosure), jelas (clarity), akurat (accuracy).</w:t>
            </w:r>
          </w:p>
        </w:tc>
      </w:tr>
    </w:tbl>
    <w:p>
      <w:pPr>
        <w:pStyle w:val="Heading1"/>
      </w:pPr>
      <w:r>
        <w:t xml:space="preserve">Pertanyaan untuk Latihan dan Diskusi</w:t>
      </w:r>
    </w:p>
    <w:p>
      <w:pPr>
        <w:pStyle w:val="ListParagraph"/>
        <w:numPr>
          <w:ilvl w:val="0"/>
          <w:numId w:val="8"/>
        </w:numPr>
      </w:pPr>
      <w:r>
        <w:t xml:space="preserve">Jelaskan dengan kata-kata sendiri mengapa korporasi bisa dimintai tanggung jawab moral, padahal ia bukan manusia.</w:t>
      </w:r>
    </w:p>
    <w:p>
      <w:pPr>
        <w:pStyle w:val="ListParagraph"/>
        <w:numPr>
          <w:ilvl w:val="0"/>
          <w:numId w:val="8"/>
        </w:numPr>
      </w:pPr>
      <w:r>
        <w:t xml:space="preserve">Mengapa lapis etis disebut titik paling rapuh dalam penerapan piramida Carroll pada PT Djarum? Berikan buktinya.</w:t>
      </w:r>
    </w:p>
    <w:p>
      <w:pPr>
        <w:pStyle w:val="ListParagraph"/>
        <w:numPr>
          <w:ilvl w:val="0"/>
          <w:numId w:val="8"/>
        </w:numPr>
      </w:pPr>
      <w:r>
        <w:t xml:space="preserve">Anak-anak peserta audisi tidak punya kontrak dengan PT Djarum. Dengan prinsip apa mereka tetap disebut stakeholder?</w:t>
      </w:r>
    </w:p>
    <w:p>
      <w:pPr>
        <w:pStyle w:val="ListParagraph"/>
        <w:numPr>
          <w:ilvl w:val="0"/>
          <w:numId w:val="8"/>
        </w:numPr>
      </w:pPr>
      <w:r>
        <w:t xml:space="preserve">Jika manfaat program CSR nyata bagi penerimanya, apakah motif di baliknya masih relevan untuk dinilai? Berikan argumen dua sisi.</w:t>
      </w:r>
    </w:p>
    <w:p>
      <w:pPr>
        <w:pStyle w:val="ListParagraph"/>
        <w:numPr>
          <w:ilvl w:val="0"/>
          <w:numId w:val="8"/>
        </w:numPr>
      </w:pPr>
      <w:r>
        <w:t xml:space="preserve">Kronologi 2019 disebut contoh corporate accountability yang bekerja "tanpa melewati kotak suara". Apa maksudnya, dan apa peran transparansi dalam kesepakatannya?</w:t>
      </w:r>
    </w:p>
    <w:p>
      <w:pPr>
        <w:pStyle w:val="Heading1"/>
      </w:pPr>
      <w:r>
        <w:t xml:space="preserve">Daftar Sumber</w:t>
      </w:r>
    </w:p>
    <w:p>
      <w:pPr>
        <w:pStyle w:val="ListParagraph"/>
        <w:numPr>
          <w:ilvl w:val="0"/>
          <w:numId w:val="3"/>
        </w:numPr>
      </w:pPr>
      <w:r>
        <w:t xml:space="preserve">Crane, A., Matten, D., Glozer, S., &amp; Spence, L. (2019). Business Ethics: Managing Corporate Citizenship and Sustainability in the Age of Globalization (5th ed.). Oxford University Press — Bab 2, hlm. 44–78.</w:t>
      </w:r>
    </w:p>
    <w:p>
      <w:pPr>
        <w:pStyle w:val="ListParagraph"/>
        <w:numPr>
          <w:ilvl w:val="0"/>
          <w:numId w:val="3"/>
        </w:numPr>
      </w:pPr>
      <w:r>
        <w:t xml:space="preserve">Friedman (1970); Carroll (1991); Freeman (1984); Evan &amp; Freeman (1993); Donaldson &amp; Preston (1995); Rowley (1997); Wood (1991); Marshall (1965); Matten &amp; Crane (2005); Matten &amp; Moon (2008); Schnackenberg &amp; Tomlinson (2014); Banerjee (2007); Fleming &amp; Jones (2012).</w:t>
      </w:r>
    </w:p>
    <w:p>
      <w:pPr>
        <w:pStyle w:val="ListParagraph"/>
        <w:numPr>
          <w:ilvl w:val="0"/>
          <w:numId w:val="3"/>
        </w:numPr>
      </w:pPr>
      <w:r>
        <w:t xml:space="preserve">Peraturan Pemerintah No. 109 Tahun 2012 tentang Pengamanan Bahan yang Mengandung Zat Adiktif berupa Produk Tembakau bagi Kesehatan.</w:t>
      </w:r>
    </w:p>
    <w:p>
      <w:pPr>
        <w:pStyle w:val="ListParagraph"/>
        <w:numPr>
          <w:ilvl w:val="0"/>
          <w:numId w:val="3"/>
        </w:numPr>
      </w:pPr>
      <w:r>
        <w:t xml:space="preserve">KPAI (2019); Yayasan Lentera Anak; CNN Indonesia, Kompas, Tempo, Tirto (2019) — liputan polemik audisi PB Djarum; ANTARA (2024, 2025); Djarum Foundation; PB Djarum.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pPr>
        <w:spacing w:after="14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2E3192"/>
      <w:sz w:val="32"/>
      <w:szCs w:val="32"/>
    </w:rPr>
  </w:style>
  <w:style w:type="paragraph" w:styleId="Heading2">
    <w:name w:val="Heading 2"/>
    <w:basedOn w:val="Normal"/>
    <w:next w:val="Normal"/>
    <w:qFormat/>
    <w:pPr>
      <w:spacing w:after="140" w:before="280"/>
    </w:pPr>
    <w:rPr>
      <w:rFonts w:ascii="Calibri" w:cs="Calibri" w:eastAsia="Calibri" w:hAnsi="Calibri"/>
      <w:b/>
      <w:bCs/>
      <w:color w:val="6B2233"/>
      <w:sz w:val="26"/>
      <w:szCs w:val="26"/>
    </w:rPr>
  </w:style>
  <w:style w:type="paragraph" w:styleId="Heading3">
    <w:name w:val="Heading 3"/>
    <w:basedOn w:val="Normal"/>
    <w:next w:val="Normal"/>
    <w:qFormat/>
    <w:pPr>
      <w:spacing w:after="100" w:before="220"/>
    </w:pPr>
    <w:rPr>
      <w:rFonts w:ascii="Calibri" w:cs="Calibri" w:eastAsia="Calibri" w:hAnsi="Calibri"/>
      <w:b/>
      <w:bCs/>
      <w:color w:val="1F1F1F"/>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2026-08-28T02:59:09.334Z</dcterms:created>
  <dcterms:modified xsi:type="dcterms:W3CDTF">2026-08-28T02:59:09.334Z</dcterms:modified>
</cp:coreProperties>
</file>

<file path=docProps/custom.xml><?xml version="1.0" encoding="utf-8"?>
<Properties xmlns="http://schemas.openxmlformats.org/officeDocument/2006/custom-properties" xmlns:vt="http://schemas.openxmlformats.org/officeDocument/2006/docPropsVTypes"/>
</file>